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CC" w:rsidRPr="00F43BCC" w:rsidRDefault="00F43BCC" w:rsidP="00F43BCC">
      <w:pPr>
        <w:keepNext/>
        <w:keepLines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b/>
          <w:i/>
          <w:sz w:val="26"/>
          <w:szCs w:val="20"/>
          <w:lang w:val="x-none" w:eastAsia="x-none"/>
        </w:rPr>
      </w:pPr>
      <w:bookmarkStart w:id="0" w:name="_Toc482355801"/>
      <w:r w:rsidRPr="00F43BCC">
        <w:rPr>
          <w:rFonts w:ascii="Arial" w:eastAsia="Times New Roman" w:hAnsi="Arial" w:cs="Times New Roman"/>
          <w:b/>
          <w:i/>
          <w:sz w:val="26"/>
          <w:szCs w:val="20"/>
          <w:lang w:val="x-none" w:eastAsia="x-none"/>
        </w:rPr>
        <w:t>Образование отходов и обращение с ними</w:t>
      </w:r>
      <w:bookmarkEnd w:id="0"/>
    </w:p>
    <w:p w:rsidR="00F43BCC" w:rsidRPr="00781332" w:rsidRDefault="00F43BCC" w:rsidP="00F4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Информация об образовании, утилизации и обезвреживании отходов производства и потребления в Ханты-Мансийском автономном округе – Югре представлена </w:t>
      </w:r>
      <w:r w:rsidR="00604092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Северо-Уральским межрегиональным управлением Росприроднадзора</w:t>
      </w:r>
      <w:r w:rsidR="00A62D64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(далее Управление)</w:t>
      </w:r>
      <w:r w:rsidR="00604092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и Службой по контролю и надзору в сфере охраны окружающей среды, объектов животного мира и лесных отношений Ханты-Мансийского автономного округа – Югры (Природнадзор Югры).</w:t>
      </w:r>
    </w:p>
    <w:p w:rsidR="00F43BCC" w:rsidRDefault="008E2692" w:rsidP="00F4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данным </w:t>
      </w:r>
      <w:r w:rsidR="00A62D64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Управления</w:t>
      </w:r>
      <w:r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(в части сведений </w:t>
      </w:r>
      <w:r w:rsidR="001E494E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об образовании, обработке, утилизации, обезвреживании, транспортировании и размещении отходов производства и потребления</w:t>
      </w:r>
      <w:r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территории автономного округа) в 20</w:t>
      </w:r>
      <w:r w:rsidR="006F5432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году было образовано </w:t>
      </w:r>
      <w:r w:rsidR="0085227A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8002D4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85227A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485,3</w:t>
      </w:r>
      <w:r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тыс. т отходов производства и потребления, </w:t>
      </w:r>
      <w:proofErr w:type="gramStart"/>
      <w:r w:rsidR="001E494E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утилизировано и обезврежено</w:t>
      </w:r>
      <w:proofErr w:type="gramEnd"/>
      <w:r w:rsidR="008C1089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</w:t>
      </w:r>
      <w:r w:rsidR="0085227A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8002D4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85227A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444</w:t>
      </w:r>
      <w:r w:rsidR="008002D4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,9 </w:t>
      </w:r>
      <w:r w:rsidR="008C1089"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тыс. т (рис. </w:t>
      </w:r>
      <w:r w:rsidRPr="002C7A55">
        <w:rPr>
          <w:rFonts w:ascii="Times New Roman" w:eastAsia="Times New Roman" w:hAnsi="Times New Roman" w:cs="Times New Roman"/>
          <w:sz w:val="26"/>
          <w:szCs w:val="20"/>
          <w:lang w:eastAsia="ru-RU"/>
        </w:rPr>
        <w:t>1).</w:t>
      </w:r>
    </w:p>
    <w:p w:rsidR="004A1D6C" w:rsidRPr="00F43BCC" w:rsidRDefault="008002D4" w:rsidP="00F4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C6A387" wp14:editId="3D90CE0A">
            <wp:extent cx="5940425" cy="2969906"/>
            <wp:effectExtent l="0" t="0" r="2222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3BCC" w:rsidRPr="00F43BCC" w:rsidRDefault="008C1089" w:rsidP="00F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Cs w:val="20"/>
          <w:lang w:val="x-none" w:eastAsia="x-none"/>
        </w:rPr>
        <w:t>Рис. </w:t>
      </w:r>
      <w:r w:rsidR="00F43BCC" w:rsidRPr="00D00CA7">
        <w:rPr>
          <w:rFonts w:ascii="Times New Roman" w:eastAsia="Times New Roman" w:hAnsi="Times New Roman" w:cs="Times New Roman"/>
          <w:b/>
          <w:szCs w:val="20"/>
          <w:lang w:val="x-none" w:eastAsia="x-none"/>
        </w:rPr>
        <w:t>1. Сведения об отходах производства и потребления</w:t>
      </w:r>
    </w:p>
    <w:p w:rsidR="00F43BCC" w:rsidRPr="00F43BCC" w:rsidRDefault="00F43BCC" w:rsidP="00F4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5076"/>
      </w:tblGrid>
      <w:tr w:rsidR="00F43BCC" w:rsidRPr="00F43BCC" w:rsidTr="009614D6">
        <w:trPr>
          <w:trHeight w:val="3236"/>
        </w:trPr>
        <w:tc>
          <w:tcPr>
            <w:tcW w:w="5045" w:type="dxa"/>
          </w:tcPr>
          <w:p w:rsidR="00F43BCC" w:rsidRPr="00F43BCC" w:rsidRDefault="00C969ED" w:rsidP="00F4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2718C78" wp14:editId="592696D5">
                  <wp:extent cx="3083529" cy="168402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506" cy="1685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CC" w:rsidRPr="00F43BCC" w:rsidTr="00C969ED">
        <w:trPr>
          <w:trHeight w:val="304"/>
        </w:trPr>
        <w:tc>
          <w:tcPr>
            <w:tcW w:w="5045" w:type="dxa"/>
          </w:tcPr>
          <w:p w:rsidR="00F43BCC" w:rsidRPr="00F43BCC" w:rsidRDefault="008C1089" w:rsidP="00F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x-none" w:eastAsia="x-none"/>
              </w:rPr>
              <w:t>Рис. </w:t>
            </w:r>
            <w:r w:rsidR="00F43BCC" w:rsidRPr="00F43BCC">
              <w:rPr>
                <w:rFonts w:ascii="Times New Roman" w:eastAsia="Times New Roman" w:hAnsi="Times New Roman" w:cs="Times New Roman"/>
                <w:b/>
                <w:szCs w:val="20"/>
                <w:lang w:val="x-none" w:eastAsia="x-none"/>
              </w:rPr>
              <w:t>2. Распределение отходов по классам опасности</w:t>
            </w:r>
          </w:p>
        </w:tc>
      </w:tr>
    </w:tbl>
    <w:p w:rsidR="00075D2E" w:rsidRPr="00C969ED" w:rsidRDefault="00075D2E" w:rsidP="0007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Распределение отходов, </w:t>
      </w:r>
      <w:proofErr w:type="gramStart"/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образованных</w:t>
      </w:r>
      <w:proofErr w:type="gramEnd"/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территории округа в 20</w:t>
      </w:r>
      <w:r w:rsidR="002C7A55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(7</w:t>
      </w:r>
      <w:r w:rsidR="007515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 104,2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тыс. т), по классам опасности осуществлялось следу</w:t>
      </w:r>
      <w:r w:rsidR="008C1089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ющим образом (Рис. 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2.):</w:t>
      </w:r>
    </w:p>
    <w:p w:rsidR="00075D2E" w:rsidRPr="00C969ED" w:rsidRDefault="00075D2E" w:rsidP="0007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– I класс опасности – 0,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103</w:t>
      </w:r>
      <w:r w:rsidR="007515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тыс. т (0,00</w:t>
      </w:r>
      <w:r w:rsidR="007515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 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%);</w:t>
      </w:r>
    </w:p>
    <w:p w:rsidR="00075D2E" w:rsidRPr="00C969ED" w:rsidRDefault="00075D2E" w:rsidP="0007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 II класс опасности – 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7515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167</w:t>
      </w:r>
      <w:r w:rsidR="007515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тыс. т (0,0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7515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%);</w:t>
      </w:r>
    </w:p>
    <w:p w:rsidR="00075D2E" w:rsidRPr="00C969ED" w:rsidRDefault="00075D2E" w:rsidP="0007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 III класс опасности – 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261,350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тыс. т (</w:t>
      </w:r>
      <w:r w:rsidR="007515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4,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03</w:t>
      </w:r>
      <w:r w:rsidR="007515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%);</w:t>
      </w:r>
    </w:p>
    <w:p w:rsidR="00075D2E" w:rsidRPr="00C969ED" w:rsidRDefault="00075D2E" w:rsidP="0007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 IV класс опасности – 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5 468,373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тыс. т (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84,78</w:t>
      </w:r>
      <w:r w:rsidR="00B72764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%);</w:t>
      </w:r>
    </w:p>
    <w:p w:rsidR="00F43BCC" w:rsidRPr="00781332" w:rsidRDefault="00075D2E" w:rsidP="00075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 V класс опасности – 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723,329 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тыс. т (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="00B72764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C969ED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  <w:r w:rsidR="00B72764"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969ED">
        <w:rPr>
          <w:rFonts w:ascii="Times New Roman" w:eastAsia="Times New Roman" w:hAnsi="Times New Roman" w:cs="Times New Roman"/>
          <w:sz w:val="26"/>
          <w:szCs w:val="20"/>
          <w:lang w:eastAsia="ru-RU"/>
        </w:rPr>
        <w:t>%).</w:t>
      </w:r>
    </w:p>
    <w:p w:rsidR="008C1089" w:rsidRPr="00781332" w:rsidRDefault="008C1089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43BCC" w:rsidRPr="00E063F8" w:rsidRDefault="00F43BCC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Природнадзор Югры в рамках реализации постановления Правительства Ханты-Мансийского автономного округа – Югры от 29.11.2007 г. № 294–п «О 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Порядке ведения регионального кадастра отходов» осуществляет сбор информации для ведения регионального кадастра отходов (далее – РКО).</w:t>
      </w:r>
    </w:p>
    <w:p w:rsidR="00F43BCC" w:rsidRPr="00E063F8" w:rsidRDefault="00F43BCC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данным РКО на 01.01.20</w:t>
      </w:r>
      <w:r w:rsidR="0021573A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г. на территории автономного округа </w:t>
      </w:r>
      <w:r w:rsidR="007355AA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числилось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7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 полигон</w:t>
      </w:r>
      <w:r w:rsidR="00986DB0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ов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для размещения отходов производства и потребления, из них:</w:t>
      </w:r>
    </w:p>
    <w:p w:rsidR="00F43BCC" w:rsidRPr="00E063F8" w:rsidRDefault="00F43BCC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– </w:t>
      </w:r>
      <w:r w:rsidR="004D4446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 полигон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ов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для размещения твердых коммунальных отходов (ТКО), в том </w:t>
      </w:r>
      <w:proofErr w:type="gramStart"/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числе</w:t>
      </w:r>
      <w:proofErr w:type="gramEnd"/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  <w:r w:rsidR="004D4446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– действующих, 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– законсервированных, временно не эксплуатируемых, </w:t>
      </w:r>
      <w:r w:rsidR="00186595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 – выведенны</w:t>
      </w:r>
      <w:r w:rsidR="00BC6D56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х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из эксплуатации, не ликвидированны</w:t>
      </w:r>
      <w:r w:rsidR="007813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х</w:t>
      </w:r>
      <w:r w:rsidR="00186595">
        <w:rPr>
          <w:rFonts w:ascii="Times New Roman" w:eastAsia="Times New Roman" w:hAnsi="Times New Roman" w:cs="Times New Roman"/>
          <w:sz w:val="26"/>
          <w:szCs w:val="20"/>
          <w:lang w:eastAsia="ru-RU"/>
        </w:rPr>
        <w:t>, 1- в</w:t>
      </w:r>
      <w:r w:rsidR="00186595" w:rsidRPr="00186595">
        <w:rPr>
          <w:rFonts w:ascii="Times New Roman" w:eastAsia="Times New Roman" w:hAnsi="Times New Roman" w:cs="Times New Roman"/>
          <w:sz w:val="26"/>
          <w:szCs w:val="20"/>
          <w:lang w:eastAsia="ru-RU"/>
        </w:rPr>
        <w:t>ыведенный из эксплуатации, ликвидирован</w:t>
      </w:r>
      <w:r w:rsidR="00186595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4D4446" w:rsidRPr="00E063F8" w:rsidRDefault="00F43BCC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– 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полигонов для размещения промышленных отходов (ПО), в том </w:t>
      </w:r>
      <w:proofErr w:type="gramStart"/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числе</w:t>
      </w:r>
      <w:proofErr w:type="gramEnd"/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  <w:r w:rsidR="004D4446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 - действующих, 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законсервированны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х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, временно не эксплуатируемы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х, 1 – выведенный из эксплуатации, не ликвидированный</w:t>
      </w:r>
      <w:r w:rsidR="004D4446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F43BCC" w:rsidRPr="00E063F8" w:rsidRDefault="00F43BCC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– </w:t>
      </w:r>
      <w:r w:rsidR="004D4446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 действующи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й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смешанны</w:t>
      </w:r>
      <w:r w:rsidR="006F5432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й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полигон для размещения </w:t>
      </w:r>
      <w:proofErr w:type="gramStart"/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твердых</w:t>
      </w:r>
      <w:proofErr w:type="gramEnd"/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коммунальных и производственных отходов (ТКО и ПО).</w:t>
      </w:r>
    </w:p>
    <w:p w:rsidR="00F43BCC" w:rsidRPr="00781332" w:rsidRDefault="00F43BCC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этом 4</w:t>
      </w:r>
      <w:r w:rsidR="00FD287C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 полигон</w:t>
      </w:r>
      <w:r w:rsidR="0070698C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для размещения отходов производства и потребления эксплуатируют муниципальные предприятия, либо сторонние организации по договору аренды; 3</w:t>
      </w:r>
      <w:r w:rsidR="00B0156D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 полигон</w:t>
      </w:r>
      <w:r w:rsidR="00B0156D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находятся на балансе нефтегазовых компаний.</w:t>
      </w:r>
    </w:p>
    <w:p w:rsidR="00765407" w:rsidRDefault="00F43BCC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На 01.01.20</w:t>
      </w:r>
      <w:r w:rsidR="00765407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2838DE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 г. в РКО числил</w:t>
      </w:r>
      <w:r w:rsidR="00765407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сь</w:t>
      </w:r>
      <w:r w:rsidR="00765407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3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 мест складирования отходов (</w:t>
      </w:r>
      <w:r w:rsidR="008429D2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действующих, </w:t>
      </w:r>
      <w:r w:rsidR="00765407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выведенных не ликвидированных, 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законсервированн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ое</w:t>
      </w:r>
      <w:proofErr w:type="gramEnd"/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), а также 1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429D2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действующих </w:t>
      </w:r>
      <w:r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площадок временного накопления отходов</w:t>
      </w:r>
      <w:r w:rsidR="00765407" w:rsidRPr="00781332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данным РКО в 20</w:t>
      </w:r>
      <w:r w:rsidR="004915D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году предприятиями использовал</w:t>
      </w:r>
      <w:r w:rsidR="0067748E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сь 1</w:t>
      </w:r>
      <w:r w:rsidR="004915D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52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proofErr w:type="gram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промышленных</w:t>
      </w:r>
      <w:proofErr w:type="gram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объект</w:t>
      </w:r>
      <w:r w:rsidR="009C5A5A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для обработки, утилизации и обезвреживания отходов производства и потребления. </w:t>
      </w:r>
      <w:proofErr w:type="gram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Из них: </w:t>
      </w:r>
      <w:r w:rsidR="004915D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 объект</w:t>
      </w:r>
      <w:r w:rsidR="009C5A5A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ов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 – по обработке отходов производства и потребления (сортировка, очистка, прессование, измельчение, гранулирование), 2</w:t>
      </w:r>
      <w:r w:rsidR="004915D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 объект</w:t>
      </w:r>
      <w:r w:rsidR="004915D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 – по утилизации (использовани</w:t>
      </w:r>
      <w:r w:rsidR="004915D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), </w:t>
      </w:r>
      <w:r w:rsidR="004915D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28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объектов – по обезвреживанию и утилизации и </w:t>
      </w:r>
      <w:r w:rsidR="004915D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96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 объект</w:t>
      </w:r>
      <w:r w:rsidR="00C36B6F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ов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 – по обезвреживанию отходов производства и потребления.</w:t>
      </w:r>
      <w:proofErr w:type="gramEnd"/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Из отходов в автономном округе утилизируются (используются):</w:t>
      </w:r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 буровые нефтесодержащие шламы, обезвреженные и переработанные в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грунтошламовые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смеси с искусственными и натуральными наполнителями, переведенные в строительный материал для дорог и оснований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промплощадок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буролит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бентогрунт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, техногенный грунт, строительный материал «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Ресоил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», дорожно-строительный композиционный материал (ДСКМ), сыпучий грунт);</w:t>
      </w:r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– отработанные масла моторные, трансмиссионные в воздухонагревательных системах;</w:t>
      </w:r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 отработанные автомобильные шины, переработанные в резиновую крошку, резиновый скрап, обрезки резины, в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пиролизное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мазутное топливо, в металл, отделенный от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металлокорда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установках «</w:t>
      </w:r>
      <w:r w:rsidR="00182D3B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Гильотина 700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» (ООО «ЭКОНАДЗОР»);</w:t>
      </w:r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 шламы и парафины нефти и нефтепродукты, переработанные в битумные композиции и используемые в качестве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битумизированных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материалов для гидроизоляции сооружений.</w:t>
      </w:r>
    </w:p>
    <w:p w:rsidR="00522658" w:rsidRPr="00B810F8" w:rsidRDefault="00522658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B06335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редприяти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06335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ООО «Синтез-Пак»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ООО «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Эколайн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B06335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осуществля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="00B06335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т переработку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отходов полиэтилена для изготовления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полимерпесчаной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плитки, а также полиэтилена и полипропилена вторично гранулированного.</w:t>
      </w:r>
    </w:p>
    <w:p w:rsidR="00522658" w:rsidRPr="00B810F8" w:rsidRDefault="00522658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Предприятия ООО «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Эковата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» и ООО «Папирус» перераб</w:t>
      </w:r>
      <w:r w:rsidR="00424318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атывают отходы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бумаги и картона для производства теплоизоляционной ваты и т</w:t>
      </w:r>
      <w:r w:rsidR="009C5A5A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уалетной бумаги соответственно.</w:t>
      </w:r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В округе преобладают технологии, основанные на термическом обезвреживании отходов, в том числе:</w:t>
      </w:r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– топочным сжиганием отдельных видов отходов (обтирочного загрязненного материала, отработанных масляных фильтров, строительного и бытового мусора, в том числе бумаги от делопроизводства, мусора с защитных решеток механической очистки сточных вод, загрязненной древесной стружки, вышедшей из употребления тары и прочего) на установках «</w:t>
      </w:r>
      <w:r w:rsidRPr="00B810F8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SMART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B810F8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ASH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» «Форсаж-1», «Форсаж-2М», «Костер-1МА», «Факел-М»  (ООО «ЛУКОЙЛ-Западная Сибирь», ООО «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Газпромнефть-Хантос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»,</w:t>
      </w:r>
      <w:r w:rsidRPr="00B810F8">
        <w:t xml:space="preserve"> 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АО «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Транснефть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-Сибирь», ООО</w:t>
      </w:r>
      <w:r w:rsidR="00F36D1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«РН-Бурение», ПАО «Сургутнефтегаз» и др.);</w:t>
      </w:r>
      <w:proofErr w:type="gramEnd"/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 сжиганием в специальных </w:t>
      </w:r>
      <w:proofErr w:type="gram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печах</w:t>
      </w:r>
      <w:proofErr w:type="gram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остатков дизельного топлива, нефтесодержащих отходов и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нефтешламов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, в том числе от зачистки резервуаров РВС, других органических веществ и отходов с использованием установок «УЗГ-1М» (ООО «ЛУКОЙЛ-Западная Сибирь», ООО "РН-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Юганскнефтегаз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" и др.), «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Сжигатель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» (ПАО «Сургутнефтегаз»).</w:t>
      </w:r>
    </w:p>
    <w:p w:rsidR="00B06335" w:rsidRPr="00B810F8" w:rsidRDefault="00B06335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территории автономного округа применяются комплексные технологии, в основе которых лежит отмывка шлама и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нефтезагрязненного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грунта в целях утилизации слабозагрязненного грунта и получения продукта (нефти): центры по отмывке шлама и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нефтезагрязненного</w:t>
      </w:r>
      <w:proofErr w:type="spellEnd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грунта ПАО «Сургутнефтегаз».</w:t>
      </w:r>
    </w:p>
    <w:p w:rsidR="003657D9" w:rsidRDefault="003657D9" w:rsidP="00B06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Продолжили работу объекты по обработке ТКО</w:t>
      </w:r>
      <w:r w:rsidR="00F36D1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C5A5A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м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усоросортировочны</w:t>
      </w:r>
      <w:r w:rsidR="00F36D1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 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комплекс</w:t>
      </w:r>
      <w:r w:rsidR="00F36D1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ы в г. Нижневартовске, </w:t>
      </w:r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г.</w:t>
      </w:r>
      <w:r w:rsidR="00F36D1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Югорск</w:t>
      </w:r>
      <w:r w:rsidR="00F36D1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proofErr w:type="spellEnd"/>
      <w:r w:rsidR="00F36D1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г. </w:t>
      </w:r>
      <w:proofErr w:type="spellStart"/>
      <w:r w:rsidR="00F36D17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Урае</w:t>
      </w:r>
      <w:proofErr w:type="spellEnd"/>
      <w:r w:rsidR="004F72C6" w:rsidRPr="00B810F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556F8" w:rsidRPr="00867848" w:rsidRDefault="00F43BCC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данным РКО в 20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году на территории автономного округа было ликвидиров</w:t>
      </w:r>
      <w:r w:rsidR="008C1089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ано 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13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образовано 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8C1089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шламовых</w:t>
      </w:r>
      <w:proofErr w:type="gramEnd"/>
      <w:r w:rsidR="008C1089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амбар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 (Рис. </w:t>
      </w:r>
      <w:r w:rsidR="008C1089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.). 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состоянию н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а 01.01.20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г. не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ликвидированными</w:t>
      </w:r>
      <w:proofErr w:type="gramEnd"/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B71F4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числятся 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объект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ов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размещения отходов (шламовых амбаров) у 8 предприятий. Наибольшее количество амбаров насчитывается у 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АО «Самотлорнефтегаз»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(6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 шт</w:t>
      </w:r>
      <w:r w:rsidR="008429D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) и П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АО 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«Сургутнефтегаз»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(4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83B12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 шт.)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ПАО НК «</w:t>
      </w:r>
      <w:proofErr w:type="spellStart"/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РуссНефть</w:t>
      </w:r>
      <w:proofErr w:type="spellEnd"/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(11 шт.), </w:t>
      </w:r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Компани</w:t>
      </w:r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</w:t>
      </w:r>
      <w:proofErr w:type="spellStart"/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Салым</w:t>
      </w:r>
      <w:proofErr w:type="spellEnd"/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Петролеум </w:t>
      </w:r>
      <w:proofErr w:type="spellStart"/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Девелопмент</w:t>
      </w:r>
      <w:proofErr w:type="spellEnd"/>
      <w:r w:rsidR="00E063F8" w:rsidRP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Н.В.»</w:t>
      </w:r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(5 шт.).</w:t>
      </w:r>
    </w:p>
    <w:p w:rsidR="00F43BCC" w:rsidRPr="00867848" w:rsidRDefault="00834D36" w:rsidP="008C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В 20</w:t>
      </w:r>
      <w:r w:rsidR="00E063F8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году нефтегазодобывающие предприятия </w:t>
      </w:r>
      <w:r w:rsidR="005C5803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также 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эксплуатировали </w:t>
      </w:r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186595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шламонакопител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ей</w:t>
      </w:r>
      <w:proofErr w:type="spellEnd"/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4556F8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места </w:t>
      </w:r>
      <w:r w:rsidR="005C5803"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временного </w:t>
      </w:r>
      <w:r w:rsidRPr="008678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накопления отходов (шламов буровых при бурении, связанном с добычей сырой нефти, малоопасных; растворов буровых при бурении нефтяных скважин </w:t>
      </w:r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>отработанные малоопасных и др.), 3</w:t>
      </w:r>
      <w:r w:rsidR="00186595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</w:t>
      </w:r>
      <w:bookmarkStart w:id="1" w:name="_GoBack"/>
      <w:bookmarkEnd w:id="1"/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>лигон</w:t>
      </w:r>
      <w:r w:rsidR="00186595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4109F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gramEnd"/>
    </w:p>
    <w:p w:rsidR="00F43BCC" w:rsidRDefault="00ED6D0F" w:rsidP="00F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16D8384D" wp14:editId="230CCD83">
            <wp:extent cx="5940425" cy="4408263"/>
            <wp:effectExtent l="0" t="0" r="2222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6D0F" w:rsidRPr="00867848" w:rsidRDefault="00ED6D0F" w:rsidP="00F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x-none"/>
        </w:rPr>
      </w:pPr>
    </w:p>
    <w:p w:rsidR="00B26C73" w:rsidRPr="00F43BCC" w:rsidRDefault="008C1089" w:rsidP="004C4C59">
      <w:pPr>
        <w:spacing w:after="0" w:line="240" w:lineRule="auto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b/>
          <w:szCs w:val="20"/>
          <w:lang w:val="x-none" w:eastAsia="x-none"/>
        </w:rPr>
        <w:t>Рис. </w:t>
      </w:r>
      <w:r>
        <w:rPr>
          <w:rFonts w:ascii="Times New Roman" w:eastAsia="Times New Roman" w:hAnsi="Times New Roman" w:cs="Times New Roman"/>
          <w:b/>
          <w:szCs w:val="20"/>
          <w:lang w:eastAsia="x-none"/>
        </w:rPr>
        <w:t>3</w:t>
      </w:r>
      <w:r w:rsidR="00F43BCC" w:rsidRPr="00F43BCC">
        <w:rPr>
          <w:rFonts w:ascii="Times New Roman" w:eastAsia="Times New Roman" w:hAnsi="Times New Roman" w:cs="Times New Roman"/>
          <w:b/>
          <w:szCs w:val="20"/>
          <w:lang w:val="x-none" w:eastAsia="x-none"/>
        </w:rPr>
        <w:t>. Динамика образования и ликвидации шламовых амбаров</w:t>
      </w:r>
    </w:p>
    <w:sectPr w:rsidR="00B26C73" w:rsidRPr="00F4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CC"/>
    <w:rsid w:val="00075D2E"/>
    <w:rsid w:val="00086394"/>
    <w:rsid w:val="000B6A8E"/>
    <w:rsid w:val="00182D3B"/>
    <w:rsid w:val="00186595"/>
    <w:rsid w:val="001A5DAC"/>
    <w:rsid w:val="001D53D1"/>
    <w:rsid w:val="001E494E"/>
    <w:rsid w:val="0021573A"/>
    <w:rsid w:val="002838DE"/>
    <w:rsid w:val="002C7A55"/>
    <w:rsid w:val="003657D9"/>
    <w:rsid w:val="00374791"/>
    <w:rsid w:val="004109F8"/>
    <w:rsid w:val="00424318"/>
    <w:rsid w:val="004556F8"/>
    <w:rsid w:val="004915D7"/>
    <w:rsid w:val="004A1D6C"/>
    <w:rsid w:val="004C4C59"/>
    <w:rsid w:val="004D01FB"/>
    <w:rsid w:val="004D4446"/>
    <w:rsid w:val="004F72C6"/>
    <w:rsid w:val="00522658"/>
    <w:rsid w:val="00545AC2"/>
    <w:rsid w:val="005C5803"/>
    <w:rsid w:val="00604092"/>
    <w:rsid w:val="0061298B"/>
    <w:rsid w:val="00673D6A"/>
    <w:rsid w:val="0067748E"/>
    <w:rsid w:val="006E1991"/>
    <w:rsid w:val="006F5432"/>
    <w:rsid w:val="00700CF0"/>
    <w:rsid w:val="00704715"/>
    <w:rsid w:val="0070698C"/>
    <w:rsid w:val="007355AA"/>
    <w:rsid w:val="0074327C"/>
    <w:rsid w:val="007515ED"/>
    <w:rsid w:val="00765407"/>
    <w:rsid w:val="00781332"/>
    <w:rsid w:val="007D5103"/>
    <w:rsid w:val="008002D4"/>
    <w:rsid w:val="00834D36"/>
    <w:rsid w:val="008429D2"/>
    <w:rsid w:val="0085227A"/>
    <w:rsid w:val="00867848"/>
    <w:rsid w:val="00892F7C"/>
    <w:rsid w:val="008C1089"/>
    <w:rsid w:val="008E2692"/>
    <w:rsid w:val="0095581F"/>
    <w:rsid w:val="009614D6"/>
    <w:rsid w:val="00986DB0"/>
    <w:rsid w:val="009C5A5A"/>
    <w:rsid w:val="00A528D8"/>
    <w:rsid w:val="00A54DF3"/>
    <w:rsid w:val="00A62D64"/>
    <w:rsid w:val="00AD253C"/>
    <w:rsid w:val="00B0156D"/>
    <w:rsid w:val="00B06335"/>
    <w:rsid w:val="00B25F25"/>
    <w:rsid w:val="00B26C73"/>
    <w:rsid w:val="00B72764"/>
    <w:rsid w:val="00B810F8"/>
    <w:rsid w:val="00BA259D"/>
    <w:rsid w:val="00BB71F4"/>
    <w:rsid w:val="00BC6D56"/>
    <w:rsid w:val="00C36B6F"/>
    <w:rsid w:val="00C37C08"/>
    <w:rsid w:val="00C83B12"/>
    <w:rsid w:val="00C85FA2"/>
    <w:rsid w:val="00C969ED"/>
    <w:rsid w:val="00D00CA7"/>
    <w:rsid w:val="00D9093C"/>
    <w:rsid w:val="00DA4A3E"/>
    <w:rsid w:val="00E063F8"/>
    <w:rsid w:val="00E2699B"/>
    <w:rsid w:val="00E3182C"/>
    <w:rsid w:val="00EA6255"/>
    <w:rsid w:val="00ED6D0F"/>
    <w:rsid w:val="00F36D17"/>
    <w:rsid w:val="00F43BCC"/>
    <w:rsid w:val="00F87C90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815553941373314E-2"/>
          <c:y val="4.5798841182588028E-2"/>
          <c:w val="0.80281960427196108"/>
          <c:h val="0.78071252414202919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образование!$A$9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образование!$B$1:$C$1</c:f>
              <c:strCache>
                <c:ptCount val="2"/>
                <c:pt idx="0">
                  <c:v> Образовано</c:v>
                </c:pt>
                <c:pt idx="1">
                  <c:v>Утилизировано и обезврежено</c:v>
                </c:pt>
              </c:strCache>
            </c:strRef>
          </c:cat>
          <c:val>
            <c:numRef>
              <c:f>образование!$B$9:$C$9</c:f>
              <c:numCache>
                <c:formatCode>General</c:formatCode>
                <c:ptCount val="2"/>
                <c:pt idx="0">
                  <c:v>6797.4</c:v>
                </c:pt>
                <c:pt idx="1">
                  <c:v>4215.7</c:v>
                </c:pt>
              </c:numCache>
            </c:numRef>
          </c:val>
        </c:ser>
        <c:ser>
          <c:idx val="4"/>
          <c:order val="1"/>
          <c:tx>
            <c:strRef>
              <c:f>образование!$A$10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образование!$B$1:$C$1</c:f>
              <c:strCache>
                <c:ptCount val="2"/>
                <c:pt idx="0">
                  <c:v> Образовано</c:v>
                </c:pt>
                <c:pt idx="1">
                  <c:v>Утилизировано и обезврежено</c:v>
                </c:pt>
              </c:strCache>
            </c:strRef>
          </c:cat>
          <c:val>
            <c:numRef>
              <c:f>образование!$B$10:$C$10</c:f>
              <c:numCache>
                <c:formatCode>General</c:formatCode>
                <c:ptCount val="2"/>
                <c:pt idx="0">
                  <c:v>7107.3</c:v>
                </c:pt>
                <c:pt idx="1">
                  <c:v>5126.5</c:v>
                </c:pt>
              </c:numCache>
            </c:numRef>
          </c:val>
        </c:ser>
        <c:ser>
          <c:idx val="5"/>
          <c:order val="2"/>
          <c:tx>
            <c:strRef>
              <c:f>образование!$A$11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8.9031339031339033E-3"/>
                  <c:y val="-1.2795908533435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образование!$B$1:$C$1</c:f>
              <c:strCache>
                <c:ptCount val="2"/>
                <c:pt idx="0">
                  <c:v> Образовано</c:v>
                </c:pt>
                <c:pt idx="1">
                  <c:v>Утилизировано и обезврежено</c:v>
                </c:pt>
              </c:strCache>
            </c:strRef>
          </c:cat>
          <c:val>
            <c:numRef>
              <c:f>образование!$B$11:$C$11</c:f>
              <c:numCache>
                <c:formatCode>0.0;[Red]0.0</c:formatCode>
                <c:ptCount val="2"/>
                <c:pt idx="0" formatCode="General">
                  <c:v>7155.5</c:v>
                </c:pt>
                <c:pt idx="1">
                  <c:v>7235</c:v>
                </c:pt>
              </c:numCache>
            </c:numRef>
          </c:val>
        </c:ser>
        <c:ser>
          <c:idx val="0"/>
          <c:order val="3"/>
          <c:tx>
            <c:strRef>
              <c:f>образование!$A$12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образование!$B$1:$C$1</c:f>
              <c:strCache>
                <c:ptCount val="2"/>
                <c:pt idx="0">
                  <c:v> Образовано</c:v>
                </c:pt>
                <c:pt idx="1">
                  <c:v>Утилизировано и обезврежено</c:v>
                </c:pt>
              </c:strCache>
            </c:strRef>
          </c:cat>
          <c:val>
            <c:numRef>
              <c:f>образование!$B$12:$C$12</c:f>
              <c:numCache>
                <c:formatCode>0.0;[Red]0.0</c:formatCode>
                <c:ptCount val="2"/>
                <c:pt idx="0" formatCode="General">
                  <c:v>7104.2</c:v>
                </c:pt>
                <c:pt idx="1">
                  <c:v>4711.3999999999996</c:v>
                </c:pt>
              </c:numCache>
            </c:numRef>
          </c:val>
        </c:ser>
        <c:ser>
          <c:idx val="1"/>
          <c:order val="4"/>
          <c:tx>
            <c:strRef>
              <c:f>образование!$A$13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образование!$B$1:$C$1</c:f>
              <c:strCache>
                <c:ptCount val="2"/>
                <c:pt idx="0">
                  <c:v> Образовано</c:v>
                </c:pt>
                <c:pt idx="1">
                  <c:v>Утилизировано и обезврежено</c:v>
                </c:pt>
              </c:strCache>
            </c:strRef>
          </c:cat>
          <c:val>
            <c:numRef>
              <c:f>образование!$B$13:$C$13</c:f>
              <c:numCache>
                <c:formatCode>General</c:formatCode>
                <c:ptCount val="2"/>
                <c:pt idx="0">
                  <c:v>6485.3</c:v>
                </c:pt>
                <c:pt idx="1">
                  <c:v>5444.9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80800"/>
        <c:axId val="46782336"/>
      </c:barChart>
      <c:catAx>
        <c:axId val="467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6782336"/>
        <c:crosses val="autoZero"/>
        <c:auto val="1"/>
        <c:lblAlgn val="ctr"/>
        <c:lblOffset val="100"/>
        <c:tickLblSkip val="1"/>
        <c:noMultiLvlLbl val="1"/>
      </c:catAx>
      <c:valAx>
        <c:axId val="46782336"/>
        <c:scaling>
          <c:orientation val="minMax"/>
          <c:max val="75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/>
                </a:pPr>
                <a:r>
                  <a:rPr lang="ru-RU" sz="1200" b="1"/>
                  <a:t>Объем,</a:t>
                </a:r>
                <a:r>
                  <a:rPr lang="ru-RU" sz="1200" b="1" baseline="0"/>
                  <a:t> тыс.тонн</a:t>
                </a:r>
                <a:endParaRPr lang="ru-RU" sz="1200" b="1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6780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194009803261772"/>
          <c:y val="0.90734427215587632"/>
          <c:w val="0.73611980393476462"/>
          <c:h val="7.9859819310688432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336495523448645E-2"/>
          <c:y val="4.0875904577675995E-2"/>
          <c:w val="0.89550278745257172"/>
          <c:h val="0.7578650577877927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ША!$I$2</c:f>
              <c:strCache>
                <c:ptCount val="1"/>
                <c:pt idx="0">
                  <c:v>Количество не рекультивированных шламовых амбаров на конец года, шт.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ША!$G$13:$G$21</c:f>
              <c:strCache>
                <c:ptCount val="9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  <c:pt idx="6">
                  <c:v>2018 г.</c:v>
                </c:pt>
                <c:pt idx="7">
                  <c:v>2019 г.</c:v>
                </c:pt>
                <c:pt idx="8">
                  <c:v>2020 г.</c:v>
                </c:pt>
              </c:strCache>
            </c:strRef>
          </c:cat>
          <c:val>
            <c:numRef>
              <c:f>ША!$I$13:$I$21</c:f>
              <c:numCache>
                <c:formatCode>General</c:formatCode>
                <c:ptCount val="9"/>
                <c:pt idx="0">
                  <c:v>1515</c:v>
                </c:pt>
                <c:pt idx="1">
                  <c:v>1165</c:v>
                </c:pt>
                <c:pt idx="2">
                  <c:v>733</c:v>
                </c:pt>
                <c:pt idx="3">
                  <c:v>501</c:v>
                </c:pt>
                <c:pt idx="4">
                  <c:v>223</c:v>
                </c:pt>
                <c:pt idx="5">
                  <c:v>150</c:v>
                </c:pt>
                <c:pt idx="6">
                  <c:v>147</c:v>
                </c:pt>
                <c:pt idx="7">
                  <c:v>133</c:v>
                </c:pt>
                <c:pt idx="8">
                  <c:v>130</c:v>
                </c:pt>
              </c:numCache>
            </c:numRef>
          </c:val>
        </c:ser>
        <c:ser>
          <c:idx val="0"/>
          <c:order val="1"/>
          <c:tx>
            <c:strRef>
              <c:f>ША!$H$2</c:f>
              <c:strCache>
                <c:ptCount val="1"/>
                <c:pt idx="0">
                  <c:v>Количество рекультивированных шламовых амбаров за год, шт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 w="165100" prst="coolSlant"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ША!$G$13:$G$21</c:f>
              <c:strCache>
                <c:ptCount val="9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  <c:pt idx="6">
                  <c:v>2018 г.</c:v>
                </c:pt>
                <c:pt idx="7">
                  <c:v>2019 г.</c:v>
                </c:pt>
                <c:pt idx="8">
                  <c:v>2020 г.</c:v>
                </c:pt>
              </c:strCache>
            </c:strRef>
          </c:cat>
          <c:val>
            <c:numRef>
              <c:f>ША!$H$13:$H$21</c:f>
              <c:numCache>
                <c:formatCode>General</c:formatCode>
                <c:ptCount val="9"/>
                <c:pt idx="0">
                  <c:v>296</c:v>
                </c:pt>
                <c:pt idx="1">
                  <c:v>667</c:v>
                </c:pt>
                <c:pt idx="2">
                  <c:v>382</c:v>
                </c:pt>
                <c:pt idx="3">
                  <c:v>255</c:v>
                </c:pt>
                <c:pt idx="4">
                  <c:v>320</c:v>
                </c:pt>
                <c:pt idx="5">
                  <c:v>89</c:v>
                </c:pt>
                <c:pt idx="6">
                  <c:v>76</c:v>
                </c:pt>
                <c:pt idx="7">
                  <c:v>17</c:v>
                </c:pt>
                <c:pt idx="8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3752832"/>
        <c:axId val="84144512"/>
      </c:barChart>
      <c:catAx>
        <c:axId val="63752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144512"/>
        <c:crosses val="autoZero"/>
        <c:auto val="1"/>
        <c:lblAlgn val="ctr"/>
        <c:lblOffset val="100"/>
        <c:noMultiLvlLbl val="0"/>
      </c:catAx>
      <c:valAx>
        <c:axId val="84144512"/>
        <c:scaling>
          <c:orientation val="minMax"/>
          <c:max val="2000"/>
          <c:min val="0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3752832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b"/>
      <c:layout>
        <c:manualLayout>
          <c:xMode val="edge"/>
          <c:yMode val="edge"/>
          <c:x val="7.2029382871266215E-2"/>
          <c:y val="0.85610077357090797"/>
          <c:w val="0.8716417659331045"/>
          <c:h val="0.1438991690429361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Кондрачук Александра Валентиновна</dc:creator>
  <cp:lastModifiedBy>Кондрачук Александра Валентиновна</cp:lastModifiedBy>
  <cp:revision>13</cp:revision>
  <dcterms:created xsi:type="dcterms:W3CDTF">2021-05-17T07:18:00Z</dcterms:created>
  <dcterms:modified xsi:type="dcterms:W3CDTF">2021-06-16T06:42:00Z</dcterms:modified>
</cp:coreProperties>
</file>