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062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1FC99" wp14:editId="41A45299">
            <wp:extent cx="542925" cy="723900"/>
            <wp:effectExtent l="0" t="0" r="9525" b="0"/>
            <wp:docPr id="1" name="Рисунок 1" descr="федоровски11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федоровски11й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64" w:rsidRPr="00906264" w:rsidRDefault="00906264" w:rsidP="0090626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062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АДМИНИСТРАЦИЯ</w:t>
      </w:r>
    </w:p>
    <w:p w:rsidR="00906264" w:rsidRPr="00906264" w:rsidRDefault="00906264" w:rsidP="0090626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062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ГОРОДСКОго ПОСЕЛЕНИя федоровский</w:t>
      </w:r>
    </w:p>
    <w:p w:rsidR="00906264" w:rsidRPr="00906264" w:rsidRDefault="00906264" w:rsidP="0090626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062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СУРГУТСКОГО РАЙОНА</w:t>
      </w: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2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ХАНТЫ-МАНСИЙСКОГО АВТОНОМНОГО ОКРУГА - ЮГРЫ</w:t>
      </w:r>
    </w:p>
    <w:p w:rsidR="00906264" w:rsidRPr="00906264" w:rsidRDefault="00906264" w:rsidP="0090626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62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 А С П О Р Я Ж Е Н И Е</w:t>
      </w:r>
    </w:p>
    <w:p w:rsidR="00906264" w:rsidRPr="00906264" w:rsidRDefault="00906264" w:rsidP="00906264">
      <w:pPr>
        <w:spacing w:after="0" w:line="240" w:lineRule="auto"/>
        <w:rPr>
          <w:rFonts w:ascii="Times New Roman" w:eastAsia="Times New Roman" w:hAnsi="Times New Roman" w:cs="Times New Roman"/>
          <w:bCs/>
          <w:sz w:val="12"/>
          <w:szCs w:val="12"/>
          <w:lang w:eastAsia="ru-RU"/>
        </w:rPr>
      </w:pPr>
    </w:p>
    <w:p w:rsidR="00906264" w:rsidRPr="00906264" w:rsidRDefault="00906264" w:rsidP="009062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62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«13» мая 2025 года                                                                                      № 72-р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062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пгт</w:t>
      </w:r>
      <w:proofErr w:type="spellEnd"/>
      <w:r w:rsidRPr="009062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Федоровский</w:t>
      </w:r>
    </w:p>
    <w:p w:rsidR="00906264" w:rsidRPr="00906264" w:rsidRDefault="00906264" w:rsidP="00906264">
      <w:pPr>
        <w:spacing w:after="0" w:line="240" w:lineRule="auto"/>
        <w:ind w:right="4819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906264" w:rsidRPr="00906264" w:rsidRDefault="00906264" w:rsidP="00906264">
      <w:pPr>
        <w:spacing w:after="0" w:line="240" w:lineRule="auto"/>
        <w:ind w:right="49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6264">
        <w:rPr>
          <w:rFonts w:ascii="Times New Roman" w:hAnsi="Times New Roman"/>
          <w:color w:val="000000" w:themeColor="text1"/>
          <w:sz w:val="28"/>
          <w:szCs w:val="28"/>
        </w:rPr>
        <w:t>О внесении изменений в распоряжение администрации городског</w:t>
      </w:r>
      <w:r w:rsidR="001459F1">
        <w:rPr>
          <w:rFonts w:ascii="Times New Roman" w:hAnsi="Times New Roman"/>
          <w:color w:val="000000" w:themeColor="text1"/>
          <w:sz w:val="28"/>
          <w:szCs w:val="28"/>
        </w:rPr>
        <w:t>о поселения Федоровский от 26.03</w:t>
      </w:r>
      <w:r w:rsidRPr="00906264">
        <w:rPr>
          <w:rFonts w:ascii="Times New Roman" w:hAnsi="Times New Roman"/>
          <w:color w:val="000000" w:themeColor="text1"/>
          <w:sz w:val="28"/>
          <w:szCs w:val="28"/>
        </w:rPr>
        <w:t>.2025 №43-р «Об итогах социально-экономического развития городского поселения Федоровский за 2024 год»</w:t>
      </w:r>
    </w:p>
    <w:p w:rsidR="00906264" w:rsidRPr="00906264" w:rsidRDefault="00906264" w:rsidP="0090626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6264">
        <w:rPr>
          <w:rFonts w:ascii="Times New Roman" w:hAnsi="Times New Roman"/>
          <w:color w:val="000000" w:themeColor="text1"/>
          <w:sz w:val="28"/>
          <w:szCs w:val="28"/>
        </w:rPr>
        <w:t>В связи с предоставлением информации Управлением Федеральной службы государственной статистики по Тюменской области, Ханты-Мансийскому автономному округу-Югре и Ямало-Ненецкому автономному округу о численности населения по состоянию на 01 января 2025 года: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6264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906264">
        <w:rPr>
          <w:rFonts w:ascii="Times New Roman" w:hAnsi="Times New Roman"/>
          <w:color w:val="000000" w:themeColor="text1"/>
          <w:sz w:val="28"/>
          <w:szCs w:val="28"/>
        </w:rPr>
        <w:tab/>
        <w:t>Внести в распоряжение администрации городского поселения Федоровский от 26.04.2025 №43-р «Об итогах социально-экономического развития городского поселения Федоровский за 2024 год» (далее – «Распоряжение») следующие изменения: приложение к Распоряжению изложить в новой редакции, согласно приложению, к настоящему распоряжению.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62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Pr="009062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Управлению по организации деятельности органов местного самоуправления и социальному развитию администрации городского поселения Федоровский (Сафронова М.А.) разместить настоящее распоряжение на официальном сайте органов местного самоуправления городского поселения Федоровский.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6264">
        <w:rPr>
          <w:rFonts w:ascii="Times New Roman" w:hAnsi="Times New Roman"/>
          <w:color w:val="000000" w:themeColor="text1"/>
          <w:sz w:val="28"/>
          <w:szCs w:val="28"/>
        </w:rPr>
        <w:t>3.</w:t>
      </w:r>
      <w:r w:rsidRPr="00906264">
        <w:rPr>
          <w:rFonts w:ascii="Times New Roman" w:hAnsi="Times New Roman"/>
          <w:color w:val="000000" w:themeColor="text1"/>
          <w:sz w:val="28"/>
          <w:szCs w:val="28"/>
        </w:rPr>
        <w:tab/>
        <w:t>Настоящее распоряжение вступает в силу с даты подписания и распространяет свое действие на правоотношения, возникшие с 26.03.2025 года.</w:t>
      </w:r>
    </w:p>
    <w:p w:rsidR="00906264" w:rsidRPr="00906264" w:rsidRDefault="00906264" w:rsidP="0090626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906264" w:rsidRPr="00906264" w:rsidRDefault="00906264" w:rsidP="009062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06264" w:rsidRPr="00906264" w:rsidRDefault="00906264" w:rsidP="009062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06264" w:rsidRPr="00906264" w:rsidRDefault="00906264" w:rsidP="00906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264" w:rsidRPr="00906264" w:rsidRDefault="00906264" w:rsidP="00906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264" w:rsidRPr="00906264" w:rsidRDefault="00906264" w:rsidP="00906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906264">
        <w:rPr>
          <w:rFonts w:ascii="Times New Roman" w:eastAsia="Times New Roman" w:hAnsi="Times New Roman" w:cs="Times New Roman"/>
          <w:sz w:val="28"/>
          <w:szCs w:val="28"/>
        </w:rPr>
        <w:t xml:space="preserve">Исполняющий обязанности главы </w:t>
      </w:r>
    </w:p>
    <w:p w:rsidR="00906264" w:rsidRDefault="00906264" w:rsidP="00906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906264" w:rsidSect="00983FA1">
          <w:pgSz w:w="11906" w:h="16838"/>
          <w:pgMar w:top="709" w:right="850" w:bottom="567" w:left="1418" w:header="708" w:footer="708" w:gutter="0"/>
          <w:cols w:space="708"/>
          <w:docGrid w:linePitch="360"/>
        </w:sectPr>
      </w:pPr>
      <w:r w:rsidRPr="00906264">
        <w:rPr>
          <w:rFonts w:ascii="Times New Roman" w:eastAsia="Times New Roman" w:hAnsi="Times New Roman" w:cs="Times New Roman"/>
          <w:sz w:val="28"/>
          <w:szCs w:val="28"/>
        </w:rPr>
        <w:t xml:space="preserve">городского поселения </w:t>
      </w:r>
      <w:r w:rsidRPr="009062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Федоровский                                                  </w:t>
      </w:r>
      <w:bookmarkEnd w:id="0"/>
      <w:r w:rsidRPr="009062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М.А. Сафронова</w:t>
      </w:r>
    </w:p>
    <w:p w:rsidR="00906264" w:rsidRPr="00906264" w:rsidRDefault="00906264" w:rsidP="0090626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0626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 xml:space="preserve">  </w:t>
      </w:r>
      <w:r w:rsidRPr="00906264">
        <w:rPr>
          <w:rFonts w:ascii="Times New Roman" w:eastAsia="Calibri" w:hAnsi="Times New Roman" w:cs="Times New Roman"/>
          <w:sz w:val="24"/>
          <w:szCs w:val="24"/>
        </w:rPr>
        <w:t>Приложение к распоряжению</w:t>
      </w:r>
    </w:p>
    <w:p w:rsidR="00906264" w:rsidRPr="00906264" w:rsidRDefault="00906264" w:rsidP="0090626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06264">
        <w:rPr>
          <w:rFonts w:ascii="Times New Roman" w:eastAsia="Calibri" w:hAnsi="Times New Roman" w:cs="Times New Roman"/>
          <w:sz w:val="24"/>
          <w:szCs w:val="24"/>
        </w:rPr>
        <w:t>администрации городского поселения Федоровский</w:t>
      </w:r>
    </w:p>
    <w:p w:rsidR="00906264" w:rsidRPr="00906264" w:rsidRDefault="00906264" w:rsidP="0090626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06264">
        <w:rPr>
          <w:rFonts w:ascii="Times New Roman" w:eastAsia="Calibri" w:hAnsi="Times New Roman" w:cs="Times New Roman"/>
          <w:sz w:val="24"/>
          <w:szCs w:val="24"/>
        </w:rPr>
        <w:t xml:space="preserve">от 13.05.2025 № 72-р </w:t>
      </w: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0626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ИТОГИ</w:t>
      </w: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0626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социально-экономического развития городского</w:t>
      </w: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0626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поселения Федоровский за 2024 год</w:t>
      </w: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34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1275"/>
        <w:gridCol w:w="1276"/>
        <w:gridCol w:w="1276"/>
        <w:gridCol w:w="1561"/>
        <w:gridCol w:w="1700"/>
      </w:tblGrid>
      <w:tr w:rsidR="00906264" w:rsidRPr="00906264" w:rsidTr="00CF17E2">
        <w:trPr>
          <w:trHeight w:val="387"/>
          <w:tblHeader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  <w:t>Отчет</w:t>
            </w: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</w:pP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</w:pP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  <w:t>Отчет</w:t>
            </w: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</w:pP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</w:pP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  <w:t>Отчет</w:t>
            </w: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</w:pP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u w:val="single"/>
                <w:lang w:eastAsia="ru-RU"/>
              </w:rPr>
            </w:pP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845"/>
          <w:tblHeader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Темп роста (снижения) 2022-2023</w:t>
            </w: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Темп роста (снижения) 2023-2024</w:t>
            </w: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906264" w:rsidRPr="00906264" w:rsidTr="00CF17E2">
        <w:trPr>
          <w:trHeight w:val="42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  <w:t>1. Демографические показатели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Численность постоянного населения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на начало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23667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23966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24596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101,26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102,63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на конец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23966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24596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24466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102,62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99,47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среднегодовая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23817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24281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24531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101,95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101,03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Естественный прирост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94,90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-число родившихся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94,77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96,06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число умерших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85,29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7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Миграционный прирост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-316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438,38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-72,81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число прибывших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1501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1473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498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98,13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33,81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число выбывших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74,10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78,34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интенсивности прибытия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130,98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33,81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74,91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3445</w:t>
            </w:r>
          </w:p>
        </w:tc>
      </w:tr>
      <w:tr w:rsidR="00906264" w:rsidRPr="00906264" w:rsidTr="00CF17E2">
        <w:trPr>
          <w:trHeight w:val="36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интенсивности выбытия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116,83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74,11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78,34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63,43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105,70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Коэффициент (на 1000 жителей):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естественного прироста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8,4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8,07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7,58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96,07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93,93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рождаемости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11,26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10,46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9,94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92,89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95,03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смертности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2,86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2,39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2,36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83,56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98,74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миграционного прироста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4,16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17,87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12,88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429,56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72,08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интенсивности прибытия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63,08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60,66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20,30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96,16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33,46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интенсивности выбытия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58,86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42,79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33,18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72,69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77,54</w:t>
            </w:r>
          </w:p>
        </w:tc>
      </w:tr>
      <w:tr w:rsidR="00906264" w:rsidRPr="00906264" w:rsidTr="00CF17E2">
        <w:trPr>
          <w:trHeight w:val="9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  <w:t>2. Производство агропромышленной продукции сельхозпредприятиями и крестьянскими (фермерскими) хозяйствами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9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Произведено сельскохозяйственной продукции в </w:t>
            </w: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натуральном выражении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7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молоко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тыс.л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906264" w:rsidRPr="00906264" w:rsidTr="00CF17E2">
        <w:trPr>
          <w:trHeight w:val="2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мясо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тн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906264" w:rsidRPr="00906264" w:rsidTr="00CF17E2">
        <w:trPr>
          <w:trHeight w:val="22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Реализовано сельскохозяйственной продукции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906264" w:rsidRPr="00906264" w:rsidTr="00CF17E2">
        <w:trPr>
          <w:trHeight w:val="10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  <w:t>3. Развитие малого и среднего бизнеса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0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  <w:t xml:space="preserve">3.1. Субъекты малого и среднего предпринимательства (включая </w:t>
            </w:r>
            <w:proofErr w:type="spellStart"/>
            <w:r w:rsidRPr="00906264"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  <w:t>самозанятых</w:t>
            </w:r>
            <w:proofErr w:type="spellEnd"/>
            <w:r w:rsidRPr="00906264"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1189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138,18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120,21</w:t>
            </w:r>
          </w:p>
        </w:tc>
      </w:tr>
      <w:tr w:rsidR="00906264" w:rsidRPr="00906264" w:rsidTr="00CF17E2">
        <w:trPr>
          <w:trHeight w:val="10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  <w:t>4. Потребительский рынок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5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  <w:t>Всего объектов малого и среднего бизнеса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108,2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98,04</w:t>
            </w:r>
          </w:p>
        </w:tc>
      </w:tr>
      <w:tr w:rsidR="00906264" w:rsidRPr="00906264" w:rsidTr="00CF17E2">
        <w:trPr>
          <w:trHeight w:val="18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4.1. Предприятия торговли           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единиц/м2торг.площ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92/18975,26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91/19523,30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89/18722,35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98,91/102,88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97,80/95,90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7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магазины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единиц/м2торг.площ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42/9186,10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42/9169,40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43/8137,85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100,00/99,82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102,38/88,75</w:t>
            </w:r>
          </w:p>
        </w:tc>
      </w:tr>
      <w:tr w:rsidR="00906264" w:rsidRPr="00906264" w:rsidTr="00CF17E2">
        <w:trPr>
          <w:trHeight w:val="9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торговые центры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единиц/м2торг.площ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5/7755,00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6/8301,00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6/8549,9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120,00/107,04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100,00/103,00</w:t>
            </w:r>
          </w:p>
        </w:tc>
      </w:tr>
      <w:tr w:rsidR="00906264" w:rsidRPr="00906264" w:rsidTr="00CF17E2">
        <w:trPr>
          <w:trHeight w:val="13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павильоны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единиц/м2торг.площ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33/1922,66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33/1953,40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35/1993,6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100,00/101,60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106,06/102,06</w:t>
            </w:r>
          </w:p>
        </w:tc>
      </w:tr>
      <w:tr w:rsidR="00906264" w:rsidRPr="00906264" w:rsidTr="00CF17E2">
        <w:trPr>
          <w:trHeight w:val="12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палатки, киоски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единиц/м2торг.площ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12/111,50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10/99,50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5/40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83,33/89,24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50/40,20</w:t>
            </w:r>
          </w:p>
        </w:tc>
      </w:tr>
      <w:tr w:rsidR="00906264" w:rsidRPr="00906264" w:rsidTr="00CF17E2">
        <w:trPr>
          <w:trHeight w:val="9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4.2. Объекты бытового обслуживания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102,78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97,30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 ремонту, окраске и пошиву обуви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25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 ремонту и пошиву швейных, меховых и кожаных изделий, головных уборов и изделий текстильной галантереи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32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по ремонту и техническому обслуживанию бытовой радиоэлектронной аппаратуры, бытовых машин и приборов, </w:t>
            </w: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изготовлению металлоконструкций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25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 xml:space="preserve">по техническому обслуживанию и ремонту транспортных средств, машин и оборудования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бани, душевые, сауны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парикмахерские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92,00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82,61</w:t>
            </w:r>
          </w:p>
        </w:tc>
      </w:tr>
      <w:tr w:rsidR="00906264" w:rsidRPr="00906264" w:rsidTr="00CF17E2">
        <w:trPr>
          <w:trHeight w:val="2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фотоателье, фото- и кинолаборатории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прочие услуги бытового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119,05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8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4.3. Предприятия общественного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</w:t>
            </w: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посад.мест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27/1332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27/1472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27/1472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100,00/110,51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4.4. Прочие объекты потребительского рынка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123,53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аптеки и аптечные пункты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80,00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автозаправочные станции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166,66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хлебопекарни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133,33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150,00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изготовление корпусной мебели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4.5.Прочие объекты малого и среднего бизнеса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168,00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97,62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субъектов малого и среднего предпринимательства, которым оказана государственная поддержка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133,33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Оборот розничной торговли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3091,58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3221,43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3414,71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104,2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Оборот общественного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285,03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297,00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314,82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104,2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106,00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Объем платных услуг населению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856,92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886,05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919,72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103,8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  <w:t>5. Труд и занятость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Экономически активное население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16199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16264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16264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5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Численность занятых в экономике (среднегодовая)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13575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13669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13683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100,10</w:t>
            </w:r>
          </w:p>
        </w:tc>
      </w:tr>
      <w:tr w:rsidR="00906264" w:rsidRPr="00906264" w:rsidTr="00CF17E2">
        <w:trPr>
          <w:trHeight w:val="3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 xml:space="preserve">Численность безработных, зарегистрированных в органах              </w:t>
            </w: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br/>
              <w:t xml:space="preserve">государственной службы занятости (на конец года), </w:t>
            </w:r>
          </w:p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111,11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30,00</w:t>
            </w:r>
          </w:p>
        </w:tc>
      </w:tr>
      <w:tr w:rsidR="00906264" w:rsidRPr="00906264" w:rsidTr="00CF17E2">
        <w:trPr>
          <w:trHeight w:val="9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-женщины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50,00</w:t>
            </w:r>
          </w:p>
        </w:tc>
      </w:tr>
      <w:tr w:rsidR="00906264" w:rsidRPr="00906264" w:rsidTr="00CF17E2">
        <w:trPr>
          <w:trHeight w:val="5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-молодежь до 30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7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-инвалиды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06264" w:rsidRPr="00906264" w:rsidTr="00CF17E2">
        <w:trPr>
          <w:trHeight w:val="20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Уровень безработицы, зарегистрированной в органах              </w:t>
            </w: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br/>
              <w:t>государственной службы занятости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108,93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33,33</w:t>
            </w:r>
          </w:p>
        </w:tc>
      </w:tr>
      <w:tr w:rsidR="00906264" w:rsidRPr="00906264" w:rsidTr="00CF17E2">
        <w:trPr>
          <w:trHeight w:val="20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Доля экономически активного населения в общей численности населения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68,01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66,98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66,29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98,47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98,97</w:t>
            </w:r>
          </w:p>
        </w:tc>
      </w:tr>
      <w:tr w:rsidR="00906264" w:rsidRPr="00906264" w:rsidTr="00CF17E2">
        <w:trPr>
          <w:trHeight w:val="20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Доля численности занятых в экономике в численности экономически активного населения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83,80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84,04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84,13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100,28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100,11</w:t>
            </w:r>
          </w:p>
        </w:tc>
      </w:tr>
      <w:tr w:rsidR="00906264" w:rsidRPr="00906264" w:rsidTr="00CF17E2">
        <w:trPr>
          <w:trHeight w:val="12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bCs/>
                <w:color w:val="000000"/>
                <w:lang w:eastAsia="ru-RU"/>
              </w:rPr>
              <w:t>6. Денежные доходы и расходы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6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Денежные доходы населения - всего, </w:t>
            </w:r>
          </w:p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11068,17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11650,58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12411,05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106,5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оплата труда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10304,88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10861,34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11567,33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106,5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процентах к итогу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93,10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93,22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93,20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100,13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99,98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социальные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590,91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611,00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656,21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107,4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процентах к итогу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5,34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5,24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5,29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98,12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100,95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другие доходы (доходы от долевого участия в деятельности организаций, доходы, полученные в виде выигрышей и призов, процентные доходы по вкладам в банках)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172,38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178,24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187,51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105,2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процентах к итогу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1,56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1,52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1,51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98,07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99,34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Денежные расходы населения - всего, в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9820,12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10300,26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10835,66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104,9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105,2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потребительские расходы (покупка товаров и услуг)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8220,73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8656,42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9097,90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105,1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- обязательные платежи (ЖКУ, телефон и т.д.)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619,20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630,34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672,58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106,7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прочие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980,18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1013,50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1065,19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105,1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Превышение доходов над расходами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1248,05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1350,32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1575,39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108,2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116,7</w:t>
            </w:r>
          </w:p>
        </w:tc>
      </w:tr>
      <w:tr w:rsidR="00906264" w:rsidRPr="00906264" w:rsidTr="00CF17E2">
        <w:trPr>
          <w:trHeight w:val="1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Среднемесячный доход </w:t>
            </w: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br/>
              <w:t xml:space="preserve">на душу населения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38,72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39,99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42,16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103,27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105,43</w:t>
            </w:r>
          </w:p>
        </w:tc>
      </w:tr>
      <w:tr w:rsidR="00906264" w:rsidRPr="00906264" w:rsidTr="00CF17E2">
        <w:trPr>
          <w:trHeight w:val="22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Среднемесячная заработная плата одного работающего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63,25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66,22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70,44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104,68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106,37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  <w:t>7. Баланс финансовых ресурсов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Доходы бюджета городского поселения Федоровский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307074,9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374003,2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1072727,3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121,79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286,82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Налоговые доходы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141368,3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142126,3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167876,4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100,54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118,12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Неналоговые доходы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27952,5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20502,4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18684,7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73,34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91,13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Безвозмездные поступления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137754,1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211374,6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886166,2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153,44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419,24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Расходы бюджета городского поселения Федоровский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311285,5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370144,1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995117,8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118,90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268,85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  <w:t>8. 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 8.1.1. Детские сады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Численность детей в дошкольных образовательных учреждениях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1447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1361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96,82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97,14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воспитателей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98,57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Очередность детей в дошкольные образовательные учреждения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8.1.2. Среднее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Школы общеобразовательные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Численность учащихся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3384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3399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3381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100,44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99,47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учителей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97,11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95,83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8.1.3. Дополнительное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Федоровский дом детского творчества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учащихся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2706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2280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2127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84,2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93,29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8.2. Здравоохранение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Больницы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Поликлиники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работающих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490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97,60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120,69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врачей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98,24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128,57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среднего медицинского персонала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266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93,75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126,67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Обеспеченность: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больничными койками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в том числе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койки круглосуточного стационара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93,10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107,41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койки дневного стационара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Мощность амбулаторно-поликлинического учреждения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посещений за смену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301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Пролечено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1374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1682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127,36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96,11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на койках дневного стационара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466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69,40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90,48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Проведено больными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койко-дней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12981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11642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127,69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89,68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Посещаемость поликлиник/амбулаторий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посещений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188,25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201,36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211,50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106,96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105,03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Посещений на дому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тыс.посещение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2,27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1,75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1,55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77,09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88,57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Посещений на одного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пос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/чел.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0,07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76,25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85,71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Всего вызовов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вызов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6794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5975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6514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87,94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109,02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выездов на 1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вызов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0,29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0,25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0,26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86,20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104,0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8.3.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8.3.1. Учреждения культурно-досугового типа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Число мероприятий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283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102,54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100,35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Охват человек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66850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79990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93284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119,65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116,62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Клубные формирования, коллективы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Посещения клубных формирований, коллективов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727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100,97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Численность работников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78,26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Библиотеки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Книжный фонд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томов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32,07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33,07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32,82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103,12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99,24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Число пользователей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4730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4728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4878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103,17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Число посещений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23615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33400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45968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141,44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137,63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Книговыдача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65200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67250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68429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103,14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101,75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Массовые мероприятия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106,86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124,77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Численность библиотечных работников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8.3.2. Детские музыкальные, художественные, хореографические школы и школы искусств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учащихся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467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466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121,3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99,78</w:t>
            </w:r>
          </w:p>
        </w:tc>
      </w:tr>
      <w:tr w:rsidR="00906264" w:rsidRPr="00906264" w:rsidTr="00CF17E2">
        <w:trPr>
          <w:trHeight w:val="13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Численность работников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из них преподавателей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8.4. 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Спортивные учреждения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занимающихся физической культурой и спортом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12976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14274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14479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101,56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спортивных секций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103,33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Тренера, преподаватели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Проведено спортивно-массовых мероприятия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102,99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Мероприятия, проведенные на территории городского поселения Федоровский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101,49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Количество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5250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6900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6900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131,43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Обеспеченность: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Число спортивных сооружений – всего,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спортивные залы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 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27/5,40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27/5,40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27/5,40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бассейны крытые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единиц/м2 зеркала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2/132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2/132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2/132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лыжная база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плоскостные сооружения - всего, </w:t>
            </w:r>
          </w:p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 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24/18,40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25/18,80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25/18,80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104,17/102,17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футбольное поле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3/8944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3/8944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3/8944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хоккейный корт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единиц/м2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3/4097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3/4097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3/4097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54,48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67,3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123,53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101,04</w:t>
            </w:r>
          </w:p>
        </w:tc>
      </w:tr>
      <w:tr w:rsidR="00906264" w:rsidRPr="00906264" w:rsidTr="00CF17E2">
        <w:trPr>
          <w:trHeight w:val="8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8.5. 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Молодежные формирования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15/1255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15/1400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15/1480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100,00/111,55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100,00/105,71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Мероприятия в сфере молодежной политики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67/8417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66/9021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67/9050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98,50/107,17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101,51/100,32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поселковые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48/7873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49/8106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50/8230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102,10/102,95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102,04/101,53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районные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14/525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12/905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13/877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85,71/172,38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108,33/96,91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окружные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ед./человек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5/19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5/10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4/38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100,0/52,63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80,00/380,00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  <w:t>9. Жилищно-коммунальный комплекс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9.1. Жилищный фонд – всего: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  <w:t>288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  <w:t>288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Cs/>
                <w:color w:val="000000"/>
                <w:lang w:eastAsia="ru-RU"/>
              </w:rPr>
              <w:t>290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100,69</w:t>
            </w:r>
          </w:p>
        </w:tc>
      </w:tr>
      <w:tr w:rsidR="00906264" w:rsidRPr="00906264" w:rsidTr="00CF17E2">
        <w:trPr>
          <w:trHeight w:val="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9.1.1. многоквартирные жилые дома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101,15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9.1.2. специализированный жилой фонд (ведомственный)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9.1.3. частный сектор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Общая площадь жилищного фонда (МКД)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413,13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413,13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435,23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105,29</w:t>
            </w:r>
          </w:p>
        </w:tc>
      </w:tr>
      <w:tr w:rsidR="00906264" w:rsidRPr="00906264" w:rsidTr="00CF17E2">
        <w:trPr>
          <w:trHeight w:val="16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Общая площадь жилых помещений (МКД)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330,45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330,45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346,77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104,93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деревянном исполнении</w:t>
            </w:r>
          </w:p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(общая площадь зданий/общая площадь жилых помещений)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101,57/82,02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101,56/82,02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101,56/82,03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100,00/101,01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из общей площади жилых помещений: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- муниципальный жилищный фонд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9,2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96,30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117,95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- специализированный жилищный фонд (ведомственный)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19,82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19,82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19,82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Жилье непригодное для проживания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55/47,75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72/60,18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74/61,8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130,90/126,03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102,78/102,70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аварийный жилищный фонд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36/30,80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60/50,06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64/540,0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166,67/162,53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106,67/107,87</w:t>
            </w:r>
          </w:p>
        </w:tc>
      </w:tr>
      <w:tr w:rsidR="00906264" w:rsidRPr="00906264" w:rsidTr="00CF17E2">
        <w:trPr>
          <w:trHeight w:val="9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ветхий жилищный фонд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8/6,63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4/2,9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2/1,5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50/43,74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50,00/51,72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экологически неблагоприятный жилищный фонд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11/10,32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33/30,03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8/6,3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300,00/290,99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24,24/20,98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 ветхий и экологически неблагоприятный жилищный фонд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ед./тыс. 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доля ветхого и фенольного жилья в общей площади жилищного фонда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13,31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14,56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14,57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109,39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100,06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Общая площадь жилых помещений, приходящаяся в среднем на 1 жителя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кв. 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13,88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13,61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14,13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98,05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103,82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Задолженность населения за жилищно-коммунальные услуги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146,18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147,41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147,95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100,84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100,37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9.2. Коммунальный комплекс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9.2.1. Водоснабжение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Число водопроводов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скважин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Установленная производственная </w:t>
            </w: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мощность водоочистных сооружений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м3/ сутки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16000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16000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4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 xml:space="preserve">Протяженность водопроводных сетей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35,65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35,99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38,04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100,95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105,70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Износ сетей водоснабжения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50,11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40,63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38,28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81,08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94,25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Пропущено воды через водоочистные сооружения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м3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1491,95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1486,00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1450,58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99,60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97,621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Отпущено воды потребителям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м3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1264,63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1260,46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1217,21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99,67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96,57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9.2.2. Водоотведение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канализационно-очистных сооружений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Установленная пропускная способность очистных сооружений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м3/ сутки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14000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Протяженность сетей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38,89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39,10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39,11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100,54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Износ сетей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48,30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51,77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56,44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107,18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109,2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Пропущено сточных вод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м3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916,40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986,62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999,03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107,66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101,26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9.2.3. Теплоснабжение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котельных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Число центральных тепловых пунктов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Количество установленных котлов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Протяженность тепловых сетей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45,60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46,26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48,90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101,45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105,70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Износ сетей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76,60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76,05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73,26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99,28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96,33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Мощность котельных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111,83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112,03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110,33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100,19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98,48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Произведено тепловой энергии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тыс.Гкал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189,42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183,13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177,85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96,68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97,12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Отпущено потребителям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тыс.Гкал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147,51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146,028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146,33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98,99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100,20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9.2.4. Электроснабжение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Реализация электрической энергии – всего, 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тыс.кВт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55170,26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58921,89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62339,36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-население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тыс.кВт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29162,89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31145,97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32952,44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-бюджетные потребители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тыс.кВт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2081,31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2222,83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2351,75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lastRenderedPageBreak/>
              <w:t>-прочие потребители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тыс.кВт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23548,35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25149,64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26608,32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-с/х потребители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тыс.кВт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377,77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403,45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426,85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105,8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9.3. Улично-дорожная сеть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Общая протяженность улиц, проездов, тротуаров и т.п.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62,50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62,50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62,92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100,67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Общая площадь улиц, проездов, тротуаров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403,11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403,11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409,49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101,58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Общая протяженность освещенных частей улиц, проездов, тротуаров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23,24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32,83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33,28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132,74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101,37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 xml:space="preserve">Остановочные павильоны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Светофорные объекты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Дорожные знаки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1150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91,41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Декоративное металлическое ограждение автодорог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Пм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12276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12276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12276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  <w:t>10. Закупка продукции для муниципальных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lang w:eastAsia="ru-RU"/>
              </w:rPr>
            </w:pPr>
          </w:p>
        </w:tc>
      </w:tr>
      <w:tr w:rsidR="00906264" w:rsidRPr="00906264" w:rsidTr="00CF17E2">
        <w:trPr>
          <w:trHeight w:val="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Объем продукции, закупаемый для муниципальных нужд за счет бюджета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proofErr w:type="spellStart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тыс.руб</w:t>
            </w:r>
            <w:proofErr w:type="spellEnd"/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144977,8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170479,03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142588,21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117,58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83,64</w:t>
            </w:r>
          </w:p>
        </w:tc>
      </w:tr>
      <w:tr w:rsidR="00906264" w:rsidRPr="00906264" w:rsidTr="00CF17E2">
        <w:trPr>
          <w:trHeight w:val="6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Экономия бюджетных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2851,2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3131,92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3199,04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109,84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264" w:rsidRPr="00906264" w:rsidRDefault="00906264" w:rsidP="0090626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ru-RU"/>
              </w:rPr>
            </w:pPr>
            <w:r w:rsidRPr="00906264">
              <w:rPr>
                <w:rFonts w:ascii="Times New Roman" w:eastAsia="SimSun" w:hAnsi="Times New Roman" w:cs="Times New Roman"/>
                <w:color w:val="000000"/>
                <w:lang w:eastAsia="ru-RU"/>
              </w:rPr>
              <w:t>102,14</w:t>
            </w:r>
          </w:p>
        </w:tc>
      </w:tr>
    </w:tbl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</w:p>
    <w:p w:rsidR="00906264" w:rsidRPr="00906264" w:rsidRDefault="00906264" w:rsidP="00906264">
      <w:pPr>
        <w:tabs>
          <w:tab w:val="left" w:pos="1755"/>
          <w:tab w:val="left" w:pos="5820"/>
        </w:tabs>
        <w:spacing w:after="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0626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ab/>
      </w:r>
      <w:r w:rsidRPr="0090626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ab/>
      </w: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</w:p>
    <w:p w:rsidR="00906264" w:rsidRPr="00906264" w:rsidRDefault="00906264" w:rsidP="00906264">
      <w:pPr>
        <w:tabs>
          <w:tab w:val="left" w:pos="1755"/>
        </w:tabs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906264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906264" w:rsidRPr="00906264" w:rsidRDefault="00906264" w:rsidP="00906264">
      <w:pPr>
        <w:spacing w:after="0" w:line="240" w:lineRule="auto"/>
        <w:rPr>
          <w:rFonts w:ascii="Times New Roman" w:eastAsia="SimSun" w:hAnsi="Times New Roman" w:cs="Times New Roman"/>
          <w:b/>
          <w:color w:val="000000"/>
          <w:sz w:val="26"/>
          <w:szCs w:val="26"/>
          <w:lang w:eastAsia="ru-RU"/>
        </w:rPr>
      </w:pPr>
    </w:p>
    <w:p w:rsidR="00906264" w:rsidRPr="00906264" w:rsidRDefault="00906264" w:rsidP="00906264">
      <w:pPr>
        <w:spacing w:after="0" w:line="240" w:lineRule="auto"/>
        <w:rPr>
          <w:rFonts w:ascii="Times New Roman" w:eastAsia="SimSun" w:hAnsi="Times New Roman" w:cs="Times New Roman"/>
          <w:b/>
          <w:color w:val="000000"/>
          <w:sz w:val="26"/>
          <w:szCs w:val="26"/>
          <w:lang w:eastAsia="ru-RU"/>
        </w:rPr>
      </w:pPr>
    </w:p>
    <w:p w:rsidR="00906264" w:rsidRPr="00906264" w:rsidRDefault="00906264" w:rsidP="00906264">
      <w:pPr>
        <w:spacing w:after="0" w:line="240" w:lineRule="auto"/>
        <w:rPr>
          <w:rFonts w:ascii="Times New Roman" w:eastAsia="SimSun" w:hAnsi="Times New Roman" w:cs="Times New Roman"/>
          <w:b/>
          <w:color w:val="000000"/>
          <w:sz w:val="26"/>
          <w:szCs w:val="26"/>
          <w:lang w:eastAsia="ru-RU"/>
        </w:rPr>
      </w:pPr>
    </w:p>
    <w:p w:rsidR="00906264" w:rsidRPr="00906264" w:rsidRDefault="00906264" w:rsidP="00906264">
      <w:pPr>
        <w:spacing w:after="0" w:line="240" w:lineRule="auto"/>
        <w:rPr>
          <w:rFonts w:ascii="Times New Roman" w:eastAsia="SimSun" w:hAnsi="Times New Roman" w:cs="Times New Roman"/>
          <w:b/>
          <w:color w:val="000000"/>
          <w:sz w:val="26"/>
          <w:szCs w:val="26"/>
          <w:lang w:eastAsia="ru-RU"/>
        </w:rPr>
        <w:sectPr w:rsidR="00906264" w:rsidRPr="00906264" w:rsidSect="00983FA1">
          <w:pgSz w:w="11906" w:h="16838"/>
          <w:pgMar w:top="709" w:right="850" w:bottom="567" w:left="1418" w:header="708" w:footer="708" w:gutter="0"/>
          <w:cols w:space="708"/>
          <w:docGrid w:linePitch="360"/>
        </w:sectPr>
      </w:pP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lastRenderedPageBreak/>
        <w:t xml:space="preserve">Пояснительная записка </w:t>
      </w: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к итогам социально-экономического развития </w:t>
      </w: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городского поселения Федоровский за 2024 год </w:t>
      </w:r>
    </w:p>
    <w:p w:rsidR="00906264" w:rsidRPr="00906264" w:rsidRDefault="00906264" w:rsidP="00906264">
      <w:pPr>
        <w:tabs>
          <w:tab w:val="left" w:pos="175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Городское поселение Федоровский – второй по величине населённый пункт Сургутского района. Образован посёлок 19 ноября 1984 года решением № 363 исполнительного комитета Тюменского областного Совета народных депутатов. Своим рождением посёлок обязан уникальному месторождению нефти и газа, открытому в 1971 году и названному в честь главного геофизика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Сургутской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нефтеразведочной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экспедиции, лауреата Государственной премии, одного из первооткрывателей Федоровского нефтяного месторождения - Виктора Петровича Федорова.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Городское поселение Федоровский расположено в 45 километрах от города Сургута в северо-западной части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Сургутской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низменности на слиянии рек Моховой и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Меудекъяун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Сегодня посёлок один из ведущих промышленных и культурных центров Сургутского района.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границах поселения расположены административные здания градообразующих предприятий нефтегазодобывающие управления «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Комсомольскнефть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» и «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Федоровскнефть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» ОАО «Сургутнефтегаз», которые составляют основу экономического развития городского поселения, благодаря чему Федоровский имеет высокий налоговый потенциал.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Современный посёлок обладает развитой социальной инфраструктурой. На территории городского поселения Федоровский работают: библиотека, культурно-досуговый центр с комфортабельным залом на 380 мест, спортивный комплекс, 3 дошкольных образовательных учреждения и 3 общеобразовательные школы. Действуют несколько национальных обществ. Открыт православный храм Святого Великомученика Феодора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Стратилата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воскресная школа. Мусульмане имеют возможность посетить действующую мечеть.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Охрану общественного порядка обеспечивает отделение полиции №4 ОМВД России по Сургутскому району ХМАО-Югры (дислокация в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г.п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. Федоровский), пожарную безопасность - БУ Ханты-Мансийского автономного округа – Югра по Сургутскому району «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Центроспас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Югория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».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25 июня 2008 года Геральдическим советом при Президенте Российской Федерации зарегистрированы официальные символы городского поселения Федоровский: герб и флаг. Геральдическое описание ГЕРБА городского поселения Федоровский гласит: в рассеченном зеленом и лазоревом (синем, голубом) поле золотая (желтая) капля, обремененная черной сидящей белкой».</w:t>
      </w: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1. Демографическая ситуация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Численность постоянного населения в городском поселении Федоровский составила на начало 2024 года – 24596 человек, на конец 2024 года – 24 466 человек, по сравнению с 2023 годом уменьшилось на 130 человек.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Среднегодовая численность постоянного населения в 2024 году составляет 24 531 человек, что на 250 человек меньше чем в 2023 году.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noProof/>
          <w:lang w:eastAsia="ru-RU"/>
        </w:rPr>
        <w:lastRenderedPageBreak/>
        <w:drawing>
          <wp:inline distT="0" distB="0" distL="0" distR="0" wp14:anchorId="58018954" wp14:editId="4DFE3BDF">
            <wp:extent cx="4838700" cy="21336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Первым фактором, влияющим на демографическую ситуацию, является естественный прирост. В 2024 году число родившихся составило 244 младенца, что на 3,94 % меньше к уровню 2023 года. Коэффициент рождаемости на одну тысячу жителей составил 10%, в сравнении с 2023 годом уменьшился на 0,6%.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Показатель смертности в поселении в 2024 году составил 58 человек и остался на уровне 2023 года.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4BCA7B" wp14:editId="4FA39CCF">
            <wp:extent cx="5133975" cy="25431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Вторым фактором демографического развития является миграционное движение населения. Миграционная ситуация в поселении отмечается неустойчивостью процессов передвижения населения, что обусловлено специфическими условиями, характерными для северных территорий. Тенденция миграционной динамики населения характеризуется изменением результатов по сравнению с аналогичным периодом прошлого года. Количество прибывших граждан уменьшилось и составило 498 человек, число выбывших увеличилось и составило 814 человека. Всего в миграционный оборот вовлечено 1312 человек.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noProof/>
          <w:lang w:eastAsia="ru-RU"/>
        </w:rPr>
        <w:lastRenderedPageBreak/>
        <w:drawing>
          <wp:inline distT="0" distB="0" distL="0" distR="0" wp14:anchorId="52C3A004" wp14:editId="35DEAC18">
            <wp:extent cx="4667250" cy="25527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Администрацией городского поселения Федоровский исполняется государственное полномочие по регистрации актов гражданского состояния в соответствии с пунктом 6 статьи 3 Закона Ханты-Мансийского автономного округа-Югры от 30.09.2008 № 91-оз «О наделении органов местного самоуправления муниципальных образований Ханты-Мансийского автономного округа-Югры отдельными государственными полномочиями в сфере государственной регистрации актов гражданского состояния».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2. Производство агропромышленной продукции сельхозпредприятиями и крестьянскими (фермерскими) хозяйствами</w:t>
      </w: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Производство сельскохозяйственной продукции на территории городского поселения Федоровский в 2024 году не осуществлялось.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3. Развитие малого и среднего бизнеса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Малый и средний бизнес относится к числу важнейших направлений экономического развития, который вносит значительный вклад в решение проблем занятости населения и насыщения потребительского рынка разнообразными товарами и услугами и обеспечивает поступление налогов в бюджеты бюджетной системы Российской Федерации.</w:t>
      </w:r>
      <w:r w:rsidRPr="009062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2024 году на территории городского поселения Федоровский зарегистрировано 1975 субъектов малого и среднего предпринимательства, из них индивидуальных предпринимателей –453 и </w:t>
      </w:r>
      <w:proofErr w:type="spellStart"/>
      <w:r w:rsidRPr="00906264">
        <w:rPr>
          <w:rFonts w:ascii="Times New Roman" w:eastAsia="Times New Roman" w:hAnsi="Times New Roman" w:cs="Times New Roman"/>
          <w:color w:val="000000"/>
          <w:sz w:val="26"/>
          <w:szCs w:val="26"/>
        </w:rPr>
        <w:t>самозанятых</w:t>
      </w:r>
      <w:proofErr w:type="spellEnd"/>
      <w:r w:rsidRPr="009062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1522 человек.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Предприятиям малого и среднего бизнеса обеспечивается доступ для обеспечения муниципальных нужд.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highlight w:val="yellow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Стабильному росту производства малого и среднего бизнеса способствуют объекты инфраструктуры для развития и укрепления деятельности, среди них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Сургутская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торгово-промышленная палата, Сургутский филиал ООО «Окружной Бизнес-Инкубатор», Сургутский филиал окружного фонда поддержки предпринимательства Югры «Мой Бизнес».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Субъектам малого и среднего предпринимательства и гражданам городского поселения Федоровский, планирующим начать своё дело, в рамках поддержки малого и среднего бизнеса предлагается помощь в составлении бизнес-планов для новых и развивающихся предприятий.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Оказывается, постоянная консультационная, организационная и информационная поддержка.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Городское поселение Федоровский является участником муниципальной программой «Создание условий для экономического развития Сургутского района» подпрограммы «Поддержка малого и среднего предпринимательства».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6"/>
          <w:szCs w:val="26"/>
          <w:highlight w:val="yellow"/>
          <w:lang w:eastAsia="ru-RU"/>
        </w:rPr>
      </w:pPr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 xml:space="preserve">Предприниматели городского поселения Федоровский пользуются различными видами финансовой поддержки, предоставляемых в рамках муниципальной программы Сургутского района. Поддержка была оказана в виде возмещения затрат и грантов 8 предпринимателям на общую сумму </w:t>
      </w:r>
      <w:r w:rsidRPr="00906264">
        <w:rPr>
          <w:rFonts w:ascii="Times New Roman" w:eastAsia="Calibri" w:hAnsi="Times New Roman" w:cs="Times New Roman"/>
          <w:sz w:val="26"/>
          <w:szCs w:val="26"/>
        </w:rPr>
        <w:t>1 487 727 руб.70 коп.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</w:pPr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 xml:space="preserve">В </w:t>
      </w:r>
      <w:proofErr w:type="spellStart"/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>Сургутском</w:t>
      </w:r>
      <w:proofErr w:type="spellEnd"/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 xml:space="preserve"> районе 2024 году были подведены итоги конкурса «Предприниматель года Сургутского района -2023». В конкурсе приняла участие предприниматель городского поселения Федоровский -Валеева Юлия Игоревна, занявшая второе место, денежный приз составил 200 000 рублей. 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Фондом поддержки предпринимательства Югры «Мой Бизнес» субъектам малого и среднего предпринимательства, а также лицам, желающим открыть свой бизнес в городском поселении Федоровский, была оказана образовательная и консультационная поддержки.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tabs>
          <w:tab w:val="left" w:pos="3267"/>
          <w:tab w:val="center" w:pos="517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4. Потребительский рынок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Стратегия развития потребительского рынка на территории поселения направлена на развитие различных типов предприятий, удовлетворяющих потребности жителей поселения с различными доходами, расширение услуг, предоставляемых населению и повышение качества оказываемых услуг.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на территории городского поселения Федоровский осуществляли свою деятельность 250 объектов малого и среднего бизнеса, что на 1,9 % меньше чем в 2023 году.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структуре оборота малых предприятий важное место занимает оптовая и розничная торговля, что обусловлено относительно быстрой окупаемостью вложенного капитала по сравнению с другими видами экономической деятельности.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предприятия торговли составили 36 % от общего количества объектов малого и среднего бизнеса, объекты бытового обслуживания – 29 %, предприятия общественного питания – 11 %, прочие объекты потребительского рынка – 8 %, прочие объекты малого и среднего бизнеса – 16%.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7CEB1D" wp14:editId="65547B91">
            <wp:extent cx="5886450" cy="22479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К прочим объектам малого и среднего бизнеса относятся предприятия, осуществляющие такие виды деятельности как: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услуги телевидения-2,4%;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дачные общества-2,4%; 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агентства недвижимости-7,1%;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автошколы-2,4%;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услуги гостиниц-2,4%;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услуги продаж авиа, ж/д билетов-2,4%;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услуги гаражных кооперативов-7,1%;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услуги банков-7,1%;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курсы по изучению иностранных языков-19,1%;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-стоматологическая деятельность-11,9%;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-услуги страхования-11,9%;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-пункты выдачи товаров-23,8%.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оборот розничной торговли составил 3 414,71 млн. рублей, что в сопоставимых ценах составляет 6,0 % к уровню 2023 года.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на территории городского поселения Федоровский функционировало 89 предприятий розничной торговли общей торговой площадью 18 722,35 м</w:t>
      </w:r>
      <w:r w:rsidRPr="00906264">
        <w:rPr>
          <w:rFonts w:ascii="Times New Roman" w:eastAsia="Calibri" w:hAnsi="Times New Roman" w:cs="Times New Roman"/>
          <w:color w:val="000000"/>
          <w:sz w:val="26"/>
          <w:szCs w:val="26"/>
          <w:vertAlign w:val="superscript"/>
        </w:rPr>
        <w:t>2</w:t>
      </w: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в том числе 6 торговых центров, 43 магазина, 35 павильонов и 5 киосков.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5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целях реализации Указа Президента Российской Федерации от 06.08.2014 № 560 «О применении отдельных специальных экономических мер в целях обеспечения безопасности Российской Федерации», постановления Правительства Российской Федерации от 07.08.2014 № 778 «О мерах по реализации Указа Президента Российской Федерации от 06.08.2014 № 560 «О применении отдельных специальных экономических мер в целях обеспечения безопасности Российской Федерации» и распоряжения Губернатора ХМАО-Югры от 29.08.2014 № 476-р «О комплексе мер по обеспечению сбалансированности товарных рынков в Ханты-Мансийском автономном округе – Югре», а также в целях своевременного выявления и предотвращения необоснованного повышения цен на социально значимые продовольственные товары на территории городского поселения Федоровский администрацией городского поселения Федоровский совместно с администрацией Сургутского района осуществляется </w:t>
      </w:r>
      <w:r w:rsidRPr="00906264">
        <w:rPr>
          <w:rFonts w:ascii="Times New Roman" w:eastAsia="Calibri" w:hAnsi="Times New Roman" w:cs="Times New Roman"/>
          <w:color w:val="000000"/>
          <w:spacing w:val="-5"/>
          <w:sz w:val="26"/>
          <w:szCs w:val="26"/>
        </w:rPr>
        <w:t>еженедельный мониторинг цен на отдельные виды социально-значимых продовольственных товаров первой необходимости по муниципальному образованию с выявлением причин роста цен.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Поставка товаров в предприятия розничной торговли осуществляется из Екатеринбурга, Тюмени, Челябинска, Омска, Кургана, Нижневартовска, Сургута и других городов.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2024 году оборот общественного питания составил 314,82 млн. рублей, или 6,0 % к уровню 2023 года. Общее количество предприятий общественного питания с учетом школьных столовых составило 27 единиц на 1472 посадочных мест.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На территории городского поселения Федоровский действует 5 хлебопекарней мощностью 2,07 и 0,064 тонн хлеба и хлебобулочных изделий в сутки. Ассортимент производимых хлебобулочных изделий расширяется.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Развивается рынок услуг: предоставляются кредиты на покупку мебели и сложнобытовой техники, производится доставка крупногабаритных товаров на дом, ремонт часов, обуви, сложнобытовой техники, оказываются фотоуслуги.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Бытовое обслуживание населения городского поселения Федоровский представлено 72 предприятиями различных форм собственности. Основными направлениями в сфере бытового обслуживания населения является предоставление парикмахерских услуг – 26,38% от общего количества объектов бытового обслуживания, ремонт и пошив швейных, меховых и кожаных изделий, головных уборов и изделий текстильной галантереи-13,89%, техническое обслуживание и ремонт транспортных средств, машин и оборудования-12,5%. Предприятия бытового обслуживания населения, стремятся улучшить уровень обслуживания, расширить спектр оказываемых услуг, улучшая качество обслуживания, повышая квалификацию и профессиональный уровень обслуживающего персонала.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объем платных услуг составил 919,72 млн. рублей (3,8 % к уровню 2023 года).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Основную долю в объеме платных услуг занимают услуги «обязательного» характера: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жилищно-коммунальные услуги 58,84%;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услуги связи 12,19%;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бытовые услуги 14,27%;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образовательные услуги 13%;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медицинские услуги 1,20%;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почтовые услуги 0,30%;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услуги культуры и спорта 0,88%;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прочие 0,20%.</w:t>
      </w:r>
    </w:p>
    <w:p w:rsidR="00906264" w:rsidRPr="00906264" w:rsidRDefault="00906264" w:rsidP="0090626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tabs>
          <w:tab w:val="left" w:pos="7938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color w:val="000000"/>
          <w:sz w:val="26"/>
          <w:szCs w:val="26"/>
          <w:highlight w:val="yellow"/>
        </w:rPr>
      </w:pPr>
      <w:r w:rsidRPr="0090626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15672E" wp14:editId="51243311">
            <wp:extent cx="4905375" cy="30480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  <w:highlight w:val="yellow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Услуги учреждений социальной сферы продолжают свое развитие, несмотря на то, что их доля в объеме платных услуг невелика. Ежегодное увеличение денежных доходов населения способствует росту услуг такого характера.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5. Труд и занятость</w:t>
      </w:r>
    </w:p>
    <w:p w:rsidR="00906264" w:rsidRPr="00906264" w:rsidRDefault="00906264" w:rsidP="009062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Важнейшим показателем развития поселения, в частности занятости населения является баланс трудовых ресурсов, который характеризует наличие на </w:t>
      </w: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территории поселения трудовых ресурсов и их занятость. Занятость – одна из важнейших социально-экономических проблем рыночной экономики. Уровень занятости населения характеризует равновесие экономической системы и обеспечивает экономическую и социальную стабильность общества.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Численность занятых в экономике в 2024 году по сравнению с 2023 годом увеличилось на 14 человек и составило 13 683 человека. Основная численность занятых в экономике трудится на крупных и средних предприятиях различных форм собственности.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Численность занятых в сфере образования составляет 319 педагогов, в сфере культуры и спорта численность работающих 74 человек, в сфере здравоохранения 490 человек.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Проблема рынка труда – это профессионально-квалификационный дисбаланс спроса и предложения рабочей силы, в том числе несоответствие профессионально-квалификационной структуры безработных граждан имеющимся вакансиям.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Можно выделить три наиболее уязвимых по отношению к занятости группы населения: молодежь, женщины, инвалиды. По-прежнему численность безработных женщин значительно выше численности безработных мужчин, большинство безработных женщин воспитывают несовершеннолетних детей. Из официально зарегистрированных безработных, женщины составляют 3 человека или 100 % к общему числу безработных, зарегистрированных в органах государственной службы занятости. В 2024 году количество безработной молодежи в возрасте от 16 до 29 лет составило 33 %, от общей численности официально зарегистрированных безработных.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Всего численность граждан, обратившихся за содействием в поиске подходящей работы за 2024 год, составила 14 человека. Количество официально зарегистрированных безработных по городскому поселению Федоровский на конец 2024 года составило 3 человека.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4C7E79E" wp14:editId="340D8D70">
            <wp:extent cx="4772025" cy="28479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Структура зарегистрированных безработных по уровню образования на 31.12.2024 в процентном отношении к общей численности безработных: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количество безработных, имеющих высшее и среднее (в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т.ч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. начальное) профессиональное образование – 67% (2 человека);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- количество безработных, имеющих начальное профессиональное, среднее и неполное среднее образование – 33% (1 человек).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настоящее время вопросы занятости и трудоустройства молодежи приобретают особую актуальность в связи с повышением требований к квалификации кадров на рынке труда. Проблема трудоустройства выпускников учебных заведений выходит на первый план в сфере государственной молодежной политики.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С целью сокращения безработных, инспекторами Сургутского центра занятости проводится следующая работа: 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1) организация ярмарок вакансий и учебных мест;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2) информирование населения о положении на рынке труда (разрабатываются и распространяются среди работодателей и граждан, обратившихся в центр занятости буклеты, размещается информация в средствах массовой информации, а именно публикуются объявления, статьи, размещается информация на Интернет-ресурсах);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3) оказывается содействие для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самозанятости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населения, для открытия собственного дела;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4) организация профессиональной подготовки, переподготовки, повышения квалификации;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5) организация психологической поддержки безработным гражданам: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находящимся в трудных жизненных условиях;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испытывающим трудности в поиске работы;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6) оказывается социальная поддержка безработных граждан (пособие по безработице, материальная помощь). Сумма выплаченных пособий безработным за 2024 г. составило 529,23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тыс.руб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.;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7) для реализации программ временного трудоустройства населения проводятся следующие мероприятия: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организация общественных оплачиваемых работ;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организация временного трудоустройства граждан, особо нуждающихся в социальной защите;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организация временного трудоустройства несовершеннолетних граждан в возрасте от 14 до 18 лет в свободное от учебы время;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организация временного трудоустройства граждан из числа выпускников начального и среднего профессионального образования в возрасте до 20 лет.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дальнейшем будет продолжена работа по улучшению ситуации на рынке труда, способствующая максимальному обеспечению занятости населения городского поселения Федоровский.</w:t>
      </w:r>
    </w:p>
    <w:p w:rsidR="00906264" w:rsidRPr="00906264" w:rsidRDefault="00906264" w:rsidP="009062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6. Денежные доходы и расходы населения</w:t>
      </w:r>
    </w:p>
    <w:p w:rsidR="00906264" w:rsidRPr="00906264" w:rsidRDefault="00906264" w:rsidP="009062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Важнейшим показателем уровня жизни населения являются денежные доходы. Уровень благосостояния в основном зависит от уровня заработной платы и размера пенсии - основных видов денежных доходов населения.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денежные доходы населения составили 12 411,05 млн. рублей, что выше уровня 2023 года на 6,5 %.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Состав денежных доходов населения за 2024 год по сравнению с 2023 годом оценивается следующим образом: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- оплата труда – 11 567,33 млн. рублей или 93,20% от общего объема доходов, при этом рост составил 6,5%;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социальные трансферты (пенсии, государственные социальные пособия, ежемесячные детские пособия, субсидии на оплату ЖКУ, другие выплаты социального характера) – 656,21 млн. рублей или 5,29% от общего объема доходов, повышение составило 7,4 %. 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другие доходы (доходы от долевого участия в деятельности организаций, доходы, полученные в виде выигрышей и призов, процентные доходы по вкладам в банках) – 187,51 млн. рублей или 5,2% от общего объема доходов.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Главная составляющая в структуре доходов населения – оплата труда.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среднемесячная заработная плата на одного работающего составила 70,44 тыс. руб. или 6,37% по отношению к уровню 2023 года.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90626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F7D10A" wp14:editId="6C1B2DD1">
            <wp:extent cx="4238625" cy="318135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  <w:highlight w:val="yellow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  <w:highlight w:val="yellow"/>
        </w:rPr>
      </w:pPr>
      <w:r w:rsidRPr="0090626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B9AC2D" wp14:editId="130F20ED">
            <wp:extent cx="4171950" cy="25527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highlight w:val="yellow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Денежные расходы населения в 2024 году составили 10 835,66 млн. рублей, что на 5,2% больше чем в 2023 году.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В общем объеме расходов удельный вес расходов на покупку товаров и оплату услуг составляет 84%, которые в денежном выражении составляют 9 097,90 млн. рублей. В 2024 году объем расходов на обязательные платежи, и разнообразные взносы составил 672,58 млн. рублей или 6%. Прочие расходы населения в 2024 году составили 1 065,19 млн. рублей или 10%.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Превышение доходов над расходами составило 1 575,39 млн. рублей, что на 225,07 млн. рублей больше чем в 2023 году.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Среднемесячный доход населения в городском поселении Федоровский в 2024 году составил 42,16 тыс. рублей, что на 5,4% больше чем в 2023 году.</w:t>
      </w:r>
    </w:p>
    <w:p w:rsidR="00906264" w:rsidRPr="00906264" w:rsidRDefault="00906264" w:rsidP="009062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7. Баланс финансовых ресурсов</w:t>
      </w:r>
    </w:p>
    <w:p w:rsidR="00906264" w:rsidRPr="00906264" w:rsidRDefault="00906264" w:rsidP="009062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Доходы бюджета городского поселения Федоровский формируются за счет средств налоговых и неналоговых доходов, безвозмездных поступлений.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Общий объем доходов бюджета городского поселения Федоровский в 2024 году, включающий в себя налоговые, неналоговые доходы и безвозмездные поступления составил 1072 727,3 тыс. рублей, повышение поступлений на 286,82% к уровню 2023 года.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доходной части бюджета городского поселения в 2024 году налоговых поступлений составило 167 876,4 тыс. рублей, их доля в общем объеме бюджета 15,64%. Наблюдается увеличение налоговых поступлений на 18,12% по отношению к уровню 2023 года.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Доля неналоговых поступлений составляет 1,748% от общей суммы доходов, что составляет 18 684,7 тыс. рублей. Наблюдается уменьшение неналоговых поступлений на 8,87% по отношению к уровню 2023 года.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Сумма безвозмездных поступлений в 2024 году составила 886 166,2 тыс. рублей или 419,24% по отношению к уровню 2023 года. Доля безвозмездных поступлений в общем объеме бюджета поселения составила 82,60%.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Расходы бюджета городского поселения Федоровский в 2024 году сложились в объеме 995 117,8 тыс. рублей, что на 268,85% больше, чем в 2023 году.</w:t>
      </w: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6EF120" wp14:editId="292527FA">
            <wp:extent cx="4454338" cy="2657475"/>
            <wp:effectExtent l="0" t="0" r="381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8. Социальная политика</w:t>
      </w:r>
    </w:p>
    <w:p w:rsidR="00906264" w:rsidRPr="00906264" w:rsidRDefault="00906264" w:rsidP="0090626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lastRenderedPageBreak/>
        <w:t>8.1. Образование.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деятельность системы образования была направлена на реализацию государственной и региональной политики в сфере образования, на создание комплекса условий, обеспечивающих государственные гарантии граждан на доступность качественного образования с учетом образовательных потребностей жителей поселения и факторов его социально-экономического развития.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Система образования городского поселения Федоровский в целом характеризуется стабильностью и устойчивостью, разнообразием образовательных учреждений, наличием нормативной правовой базы. Система образования представляет собой разнообразную, многофункциональную сеть учреждений образования, регулирующих образовательные программы, позволяющие удовлетворять запросы населения в соответствии с интересами и склонностями детей.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8.1.1. Дошкольное образование.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Одним из приоритетных направлений деятельности дошкольных образовательных учреждений являются: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организация предоставления и обеспечения общедоступного бесплатного дошкольного образования на территории поселения;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повышение качества дошкольного образования;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сохранение и укрепление здоровья детей дошкольного возраста.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дошкольных образовательных учреждениях городского поселения Федоровский в отчетном периоде воспитывались 1361 ребенок, и работало 138 воспитателей.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 целью обеспечения доступности дошкольного образования различным слоям населения в детских садах поселения проводится определенная работа, реализуются различные по направлениям развивающие программы: так, например, в МБДОУ центре развития ребёнка – детский сад «Танюша» - группы сопровождения и коррекции развития детей с ограниченными возможностями здоровья; также осуществляется деятельность по художественно-эстетическому развитию детей - Центр игровой поддержки ребёнка.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Сохраняется система государственных гарантий по родительской плате за содержание детей. Родительская плата за содержания ребенка составляет 250 рублей в день. Кроме того, отдельной категории родителей предоставляются льготы по оплате за детский сад.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2024 году число муниципальных образовательных организаций, реализующих дошкольное обучение граждан составляло 3 единицы.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8.1.2. Среднее общее образование.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систему школьного образования городского поселения Федоровский входят 3 муниципальных образовательных учреждения.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в общеобразовательных учреждениях городского поселения Федоровский получали образование 3381 человек. В школах городского поселения Федоровский работает 168 (человек) учителя.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Продолжается работа по созданию условий для самоопределения учащихся 9 классов по выбору профиля дальнейшего обучения: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организованы и ведутся элективные курсы по выбору учащихся для выявления интересов, склонностей, способностей и возможностей учащихся;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ведется информационная и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профориентационная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работа с учащимися девятых классов о потребностях рынка труда, возможностях получения профессионального </w:t>
      </w: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образования (начального, среднего, высшего), организации профильного обучения в 10-11 профильных классах;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проводятся экскурсии на ярмарки учебных мест и в учреждения профессионального образования.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Главными направлениями в деятельности образовательных учреждений являются: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повышение качества образования;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переход всех образовательных учреждений на новую систему оплаты труда, учитывающую результаты деятельности учителя;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формирование и организация работы управляющих советов общеобразовательных учреждений;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внедрение информационных технологий в целях развития учебного процесса и усовершенствования организационно-управленческих технологий;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обеспечение доступности дошкольного образования.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обеспечение преемственности в дошкольном и начальном общем образовании;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Во всех школах городского поселения Федоровский реализуются программы дополнительного образования детей.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8.1.3. Дополнительное образование.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Times New Roman" w:hAnsi="Times New Roman" w:cs="Times New Roman"/>
          <w:color w:val="000000"/>
          <w:sz w:val="26"/>
          <w:szCs w:val="26"/>
        </w:rPr>
        <w:t>В городском поселении Федоровский активно работает Центр дополнительного образования.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Times New Roman" w:hAnsi="Times New Roman" w:cs="Times New Roman"/>
          <w:color w:val="000000"/>
          <w:sz w:val="26"/>
          <w:szCs w:val="26"/>
        </w:rPr>
        <w:t>В учреждении создана материально - техническая база, которая обеспечивает организацию образовательного процесса по реализации программ профессиональной подготовки по 9 специальностям, а также программ научно-технического, социально-педагогического, художественно-эстетического направлений. В 2024 году в центре дополнительного образования обучалось 2127 человек, что по сравнению с 2023 годом уменьшилось на 153 человека.  Ежегодно более 100 учащихся получают квалификационные свидетельства.</w:t>
      </w:r>
    </w:p>
    <w:p w:rsidR="00906264" w:rsidRPr="00906264" w:rsidRDefault="00906264" w:rsidP="0090626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8.2. Здравоохранение.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На сегодняшний день система здравоохранения городского поселения Федоровский представлена бюджетным учреждением Ханты-Мансийского автономного округа-Югры «Федоровская городская больница», которое является одним из крупных лечебных учреждений Сургутского района.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Коечный фонд стационара, в состав которого входит отделение оказания экстренной помощи с приемным покоем в 2024 году составил 82 койки, в том числе 58 коек круглосуточного стационара, 24 коек дневного стационара. Мощность амбулаторно-поликлинического учреждения составляет 301 посещение в смену.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Численность работающих в БУ «Федоровская городская больница» в 2024 году составила 490 человек, из них 72 врача, 266 человек среднего медицинского персонала.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БУ «Федоровская городская больница» участвует в реализации приоритетного национального проекта «Здравоохранение».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рамках реализации приоритетного национального проекта дополнительные выплаты получают участковые терапевты и педиатры, медсестры и работники скорой помощи. С учетом дополнительных выплат средняя заработная плата врача в 2024 году составила 172 013 рублей, среднего медперсонала 88 823 рубля.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БУ «Федоровская городская больница» для лечения больных функционируют: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1) Отделение скорой медицинской помощи.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В 2024 году отделение обслужило 6514 человек. Вызовов на одного жителя по сравнению с 2023 годом увеличилось и составило 0,26 вызовов в 2024 году.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2) Взрослая и детская поликлиника, женская консультация, стоматологическое и лечебно-диагностическое отделение - с плановой мощностью 301 посещение в смену. Фактическое количество посещений в 2024 году составило 211 499 посещений.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Первоочередными задачами на ближайшие годы в сфере здравоохранения являются: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введение дополнительных штатных единиц узких специалистов для проведения дополнительной диспансеризации;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увеличение объема оказания медицинских услуг на до госпитального этапа, развитие профилактической направленности, первичной медицинской помощи.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8.3. Культура.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На территории городского поселения сеть учреждений культуры представляет собой комплекс, ориентированный на удовлетворение культурных и духовных потребностей жителей поселения.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На сегодняшний день сеть учреждений культуры состоит из двух учреждений: 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Муниципальное автономное учреждение культуры «Культурно-досуговый центр «Премьер» с концертным залом на 380 мест, краеведческим музеем и библиотекой с книжным фондом 32,87 тыс. экземпляров. 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Муниципальное бюджетное образовательное учреждение дополнительного образования детей «Федоровская детская школа искусств» на 275 мест.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8.3.1. Муниципальное автономное учреждение культуры «Культурно-досуговый центр «Премьер».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Приоритетным направлением деятельности МАУК «КДЦ «Премьер» является: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развитие творческих коллективов учреждения (поддержка и пропаганда народного искусства в жанре хореографии, вокала, прикладного творчества и др.);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создание любительских объединений художников, мастеров декоративного и народно - прикладного творчества;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пропаганда молодежных музыкальных и хореографических направлений (рок - групп, вокальных коллективов, авторского творчества, групп брейк-данс, хип-хоп, тин-тоник и др.);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реализация молодежных проектов;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реализация социальной политики в отношении граждан пожилого возраста;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развитие платных услуг.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было проведено 283 мероприятия, которыми охвачено 93 284 человек. В учреждении функционируют коллективы и клубные формирования в количестве 29 единиц, в которых принимают участие 727 человек.</w:t>
      </w:r>
    </w:p>
    <w:p w:rsidR="00906264" w:rsidRPr="00906264" w:rsidRDefault="00906264" w:rsidP="009062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062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настоящее время в библиотеке книжный фонд составляет 32 тыс. томов.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зарегистрированы 4 878 читателей. Книговыдача составила 68 429 экземпляров. Количество посещений составило 45 968 человек.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 отделе комплектования создана база запросов читателей и по возможности просьбы читателей стараются удовлетворить. Так же увеличилась выдача электронных документов. Дети и молодёжь предпочитают получать информацию на более привычных и удобных для них информационных носителях (различные диски с играми, аудио и видео книги и т. д.)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Библиотека переводит свой печатный фонд в электронный вид, что позволяет не только сохранить печатные издания, но и обеспечить доступность фонда для населения по средствам сети Интернет.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читальном зале имеется автоматизированное рабочее место для пользователей с выходом в Интернет, на АРМ установлены правовые системы «Консультант Плюс», «Гарант», а также полнотекстовая электронная версия российских энциклопедий и словарей «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Рубрикон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» и программой «Информационная правовая поддержка» (видеосвязи с Нотариальной палатой ХМАО-Югры и с ИФНС Сургутского района ХМАО-Югры), а также оборудование для ТОД в количестве 3-х автоматизированных рабочих мест.</w:t>
      </w:r>
    </w:p>
    <w:p w:rsidR="00906264" w:rsidRPr="00906264" w:rsidRDefault="00906264" w:rsidP="009062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В целях профилактики безнадзорности и правонарушений среди детей и подростков в 2024 году отдел оставался одной из центральных площадок по организации досуга детей в каникулярное время. Летняя кампания 2024 года включала в себя цикл из 21 мероприятия, направленных на организацию свободного времени детей в летний период. Приняли участие более 1 500 человек.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8.3.2. Муниципальное бюджетное образовательное учреждение дополнительного образования детей «Федоровская детская школа искусств».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Основным направлением деятельности детской школы искусств являются: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эстрадное отделение;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фортепиано;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народные инструменты (баян, аккордеон, балалайка, домбра, гитара);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духовое отделение (труба, тромбон, флейта, саксофон);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художественное отделение;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хореографическое отделение;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хоровое пение;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подготовительное отделение (общее эстетическое образование, хореографическое искусство).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последние годы растет спрос на отделения с групповыми занятиями: художественное, эстетическое, хоровое, что способствует увеличению охвата учащихся на той же материально-технической базе. В 2024 году в школе обучалось 466 учащихся. В школе работает 37 человек из них 24 преподавателя.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8.4. Физическая культура и спорт.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Спорт в 2024 году был представлен одним учреждением: муниципальным автономным учреждением «Федоровский спортивно-оздоровительный центр» с бассейном и 2-мя спортивными залами. Кроме того, имеются плоскостные спортивные сооружения: 3 футбольных поля, 3 хоккейных корта с обустроенными пунктами проката.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Всего на территории городского поселения Федоровский в 2024 году насчитывалось 56 спортивных сооружений, в том числе: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плоскостных сооружений 25 единиц, общей площадью 18,80 тыс. м² (в том числе 3 хоккейных корта площадью 4097 м² и 3 футбольных поля с площадью покрытия 8944 м²);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спортивных залов 27 единиц, общей площадью 5,4 тыс. м²;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highlight w:val="cyan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плавательных бассейнов – 2 единицы, площадью 132 м² зеркал;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лыжная база – 1, с трассой протяженностью 5 км, и с пропускной способностью 14 400 человек в год.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В настоящее время количество систематически занимающихся спортом 14 479 человек, что составляет 1,56% к уровню 2023 года. Процент занимающихся спортом в общем числе постоянного населения составляет 68 %.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на территории городского поселения Федоровский проведено 69 спортивных мероприятия. Всего в поселковых мероприятиях в 2024 году задействовано 6 900 человек, как и в 2023 году.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8.5. Молодежная политика.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Основными целями реализации молодежной политики на территории поселения являются: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формирование активной гражданской позиции;</w:t>
      </w:r>
    </w:p>
    <w:p w:rsidR="00906264" w:rsidRPr="00906264" w:rsidRDefault="00906264" w:rsidP="009062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- создание условий для духовного, физического, творческого развития и самореализации молодежи поселения.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Направления реализации молодежной политики определены в соответствии со Стратегией развития молодежной политики в РФ:</w:t>
      </w:r>
    </w:p>
    <w:p w:rsidR="00906264" w:rsidRPr="00906264" w:rsidRDefault="00906264" w:rsidP="00906264">
      <w:pPr>
        <w:tabs>
          <w:tab w:val="left" w:pos="567"/>
          <w:tab w:val="left" w:pos="709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1.Обеспечение адаптации и конкурентоспособности молодежи в социально-экономической сфере.</w:t>
      </w:r>
    </w:p>
    <w:p w:rsidR="00906264" w:rsidRPr="00906264" w:rsidRDefault="00906264" w:rsidP="0090626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2.Создание условий для включения молодежи в социально-культурную сферу.</w:t>
      </w:r>
    </w:p>
    <w:p w:rsidR="00906264" w:rsidRPr="00906264" w:rsidRDefault="00906264" w:rsidP="00906264">
      <w:pPr>
        <w:tabs>
          <w:tab w:val="left" w:pos="567"/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3.Создание условий для включения молодежи в общественно-политическую сферу.</w:t>
      </w:r>
    </w:p>
    <w:p w:rsidR="00906264" w:rsidRPr="00906264" w:rsidRDefault="00906264" w:rsidP="00906264">
      <w:pPr>
        <w:tabs>
          <w:tab w:val="left" w:pos="567"/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4.Мероприятия, направленные на профилактику наркомании, алкоголизма, асоциального поведения.</w:t>
      </w:r>
    </w:p>
    <w:p w:rsidR="00906264" w:rsidRPr="00906264" w:rsidRDefault="00906264" w:rsidP="00906264">
      <w:pPr>
        <w:tabs>
          <w:tab w:val="left" w:pos="567"/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  В 2024 году проведено 67 мероприятий, в которых приняло участие 9 050 человек. Из них 50 мероприятий были проведены в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г.п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. Федоровский и количество участников составило 8 230 человек, 13 районных - 877 человек и 4 окружных - 38 человек.</w:t>
      </w:r>
    </w:p>
    <w:p w:rsidR="00906264" w:rsidRPr="00906264" w:rsidRDefault="00906264" w:rsidP="0090626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Продолжается работа молодежи на территории поселения в волонтерском направлении. </w:t>
      </w: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Самыми значимыми из них стали: молодёжный субботник на территории лесной зоны «Молодёжь – за чистый посёлок», </w:t>
      </w:r>
      <w:r w:rsidRPr="00906264">
        <w:rPr>
          <w:rFonts w:ascii="Times New Roman" w:eastAsia="Calibri" w:hAnsi="Times New Roman" w:cs="Times New Roman"/>
          <w:sz w:val="26"/>
          <w:szCs w:val="26"/>
        </w:rPr>
        <w:t xml:space="preserve">акции «Радость лапкам!», акции «Будем чистить, убирать будем Федоровский восхвалять», </w:t>
      </w: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фестиваль-акция по очистке территории Голубых озер - «Молодежь, вперёд!», экологическая акция «Чистые игры» </w:t>
      </w:r>
      <w:proofErr w:type="spellStart"/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экозобег</w:t>
      </w:r>
      <w:proofErr w:type="spellEnd"/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акция «Снежный патруль». </w:t>
      </w:r>
    </w:p>
    <w:p w:rsidR="00906264" w:rsidRPr="00906264" w:rsidRDefault="00906264" w:rsidP="00906264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Молодежь Федоровского явились активными участниками акций по сбору гуманитарной помощи военнослужащим проходящим службу в зоне СВО. </w:t>
      </w:r>
    </w:p>
    <w:p w:rsidR="00906264" w:rsidRPr="00906264" w:rsidRDefault="00906264" w:rsidP="009062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Приоритетами молодежной политики является трудоустройство подростков и молодежи, организация работы с детьми и молодежью по месту жительства, воспитание гражданственности и патриотизма.</w:t>
      </w: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9. Жилищно-коммунальный комплекс</w:t>
      </w: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Приоритетным направлением деятельности администрации городского поселения Федоровский является – развитие жилищно-коммунального комплекса по всем направлениям.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Жилищно-коммунальный комплекс – это многоотраслевой производственно-технологический комплекс, основными задачами которого является жизнеобеспечение населения, формирование эффективной, конкурентоспособной системы хозяйствования, обеспечивающей качество предоставляемых жилищно-коммунальных услуг.</w:t>
      </w:r>
    </w:p>
    <w:p w:rsidR="00906264" w:rsidRPr="00906264" w:rsidRDefault="00906264" w:rsidP="0090626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Производственная структура жилищно-коммунального хозяйства обеспечивает виды деятельности по содержанию, капитальному и текущему </w:t>
      </w: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ремонту объектов коммунального хозяйства, в том числе содержанию и текущему ремонту жилищного фонда, организации тепло-, электро-, водоснабжения и водоотведения населения на территории городского поселения Федоровский.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9.1. Жилищный фонд.</w:t>
      </w:r>
    </w:p>
    <w:p w:rsidR="00906264" w:rsidRPr="00906264" w:rsidRDefault="00906264" w:rsidP="00906264">
      <w:pPr>
        <w:spacing w:after="0"/>
        <w:ind w:firstLine="426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В состав жилищного фонда городского поселения Федоровский входит:</w:t>
      </w:r>
    </w:p>
    <w:p w:rsidR="00906264" w:rsidRPr="00906264" w:rsidRDefault="00906264" w:rsidP="00906264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ведомственный фонд ПАО «Сургутнефтегаз» – 38 ед., общей площадью 19,82 тыс.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кв.м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;</w:t>
      </w:r>
    </w:p>
    <w:p w:rsidR="00906264" w:rsidRPr="00906264" w:rsidRDefault="00906264" w:rsidP="00906264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индивидуальные жилые дома – 76 ед., </w:t>
      </w:r>
    </w:p>
    <w:p w:rsidR="00906264" w:rsidRPr="00906264" w:rsidRDefault="00906264" w:rsidP="00906264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многоквартирные жилые дома -176 ед., общей площадью 346,77 тыс.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кв.м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906264" w:rsidRPr="00906264" w:rsidRDefault="00906264" w:rsidP="00906264">
      <w:pPr>
        <w:tabs>
          <w:tab w:val="left" w:pos="142"/>
        </w:tabs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В составе многоквартирных жилых домов имеется муниципальный жилищный фонд, общей площадью 9,2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тыс.кв.м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, что составляет 2,65 % от общей площади жилых помещений многоквартирных жилых домов. Обеспеченность жильем в среднем на одного жителя составляет 14,13 кв. метров. Жилищный фонд многоквартирных жилых домов (далее по тексту – «Жилищный фонд МКД») имеет достаточно высокий уровень благоустройства. Обслуживанием данного фонда занимаются управляющие компании ООО «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СтройРемСервис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» и ООО «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СтройТехСервис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».</w:t>
      </w:r>
    </w:p>
    <w:p w:rsidR="00906264" w:rsidRPr="00906264" w:rsidRDefault="00906264" w:rsidP="00906264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Одной из основных проблем является расселение аварийного жилищного фонда.</w:t>
      </w:r>
      <w:r w:rsidRPr="00906264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 xml:space="preserve">  Содержание аварийного жилищного фонда обходится значительно дороже, нежели жилья, находящегося в технически исправном состоянии. Наличие подобного жилья не только портит внешний вид населенного пункта, но и угрожает безопасности и комфортности проживания, что в свою очередь вызывает социальную напряженность в обществе.</w:t>
      </w:r>
    </w:p>
    <w:p w:rsidR="00906264" w:rsidRPr="00906264" w:rsidRDefault="00906264" w:rsidP="0090626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Согласно имеющимся данным 22% от жилищного фонда МКД относится к аварийному жилью, требующему расселения. Состояние аварийного жилищного фонда обусловлено высоким уровнем износа - более 83%. Требуется проведение комплекса мероприятий по ликвидации аварийного жилищного фонда.</w:t>
      </w:r>
    </w:p>
    <w:p w:rsidR="00906264" w:rsidRPr="00906264" w:rsidRDefault="00906264" w:rsidP="0090626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eastAsia="ru-RU"/>
        </w:rPr>
      </w:pPr>
      <w:r w:rsidRPr="00906264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06264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ab/>
        <w:t xml:space="preserve">По состоянию на 31 декабря 2024 года аварийный фонд в </w:t>
      </w:r>
      <w:proofErr w:type="spellStart"/>
      <w:r w:rsidRPr="00906264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>пгт</w:t>
      </w:r>
      <w:proofErr w:type="spellEnd"/>
      <w:r w:rsidRPr="00906264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 xml:space="preserve">. Федоровский составляет – 64 дома. </w:t>
      </w:r>
      <w:r w:rsidRPr="00906264">
        <w:rPr>
          <w:rFonts w:ascii="Times New Roman" w:eastAsia="Calibri" w:hAnsi="Times New Roman" w:cs="Times New Roman"/>
          <w:sz w:val="26"/>
          <w:szCs w:val="26"/>
        </w:rPr>
        <w:t>С 2024 года проводятся мероприятия по расселению 30 домов. В целях расселения граждан а</w:t>
      </w:r>
      <w:r w:rsidRPr="00906264">
        <w:rPr>
          <w:rFonts w:ascii="Times New Roman" w:eastAsia="Calibri" w:hAnsi="Times New Roman" w:cs="Times New Roman"/>
          <w:color w:val="000000"/>
          <w:sz w:val="26"/>
          <w:szCs w:val="26"/>
          <w:lang w:bidi="ru-RU"/>
        </w:rPr>
        <w:t>дминистрацией поселения под строительство МКД сформировано и передано в аренду 8 земельных участков, обеспеченных инженерными сетями, общей площадью 6,1068 га.</w:t>
      </w:r>
    </w:p>
    <w:p w:rsidR="00906264" w:rsidRPr="00906264" w:rsidRDefault="00906264" w:rsidP="00906264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eastAsia="ru-RU"/>
        </w:rPr>
      </w:pPr>
      <w:r w:rsidRPr="00906264">
        <w:rPr>
          <w:rFonts w:ascii="Times New Roman" w:eastAsia="Calibri" w:hAnsi="Times New Roman" w:cs="Times New Roman"/>
          <w:sz w:val="26"/>
          <w:szCs w:val="26"/>
        </w:rPr>
        <w:t>В конце 2024 года были введены в эксплуатацию два многоквартирных жилых дома.</w:t>
      </w:r>
    </w:p>
    <w:p w:rsidR="00906264" w:rsidRPr="00906264" w:rsidRDefault="00906264" w:rsidP="0090626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06264" w:rsidRPr="00906264" w:rsidRDefault="00906264" w:rsidP="00906264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17B6303" wp14:editId="45921E9D">
            <wp:extent cx="5238750" cy="286702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ind w:firstLine="709"/>
        <w:jc w:val="both"/>
        <w:rPr>
          <w:rFonts w:ascii="Times New Roman" w:eastAsia="Calibri" w:hAnsi="Times New Roman" w:cs="Times New Roman"/>
          <w:sz w:val="26"/>
          <w:szCs w:val="26"/>
          <w:highlight w:val="yellow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Для создания условий беспрепятственного доступа маломобильных групп населения к объектам жизнедеятельности и жилищному фонду в 2024 году администрацией городского поселения Федоровский </w:t>
      </w:r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 w:bidi="ru-RU"/>
        </w:rPr>
        <w:t xml:space="preserve">в рамках муниципального контракта, выполнены работы по устройству пандусов </w:t>
      </w:r>
      <w:r w:rsidRPr="00906264">
        <w:rPr>
          <w:rFonts w:ascii="Times New Roman" w:eastAsia="Calibri" w:hAnsi="Times New Roman" w:cs="Times New Roman"/>
          <w:bCs/>
          <w:sz w:val="26"/>
          <w:szCs w:val="26"/>
        </w:rPr>
        <w:t>на объекте жилищного фонда</w:t>
      </w:r>
      <w:r w:rsidRPr="00906264">
        <w:rPr>
          <w:rFonts w:ascii="Times New Roman" w:eastAsia="Calibri" w:hAnsi="Times New Roman" w:cs="Times New Roman"/>
          <w:bCs/>
          <w:sz w:val="26"/>
          <w:szCs w:val="26"/>
          <w:lang w:eastAsia="zh-CN"/>
        </w:rPr>
        <w:t xml:space="preserve"> (1-й подъезд жилого дома № 5б по ул. Строителей,</w:t>
      </w:r>
      <w:r w:rsidRPr="00906264">
        <w:rPr>
          <w:rFonts w:ascii="Times New Roman" w:eastAsia="Calibri" w:hAnsi="Times New Roman" w:cs="Times New Roman"/>
          <w:bCs/>
          <w:sz w:val="26"/>
          <w:szCs w:val="26"/>
        </w:rPr>
        <w:t xml:space="preserve">). </w:t>
      </w:r>
      <w:r w:rsidRPr="00906264">
        <w:rPr>
          <w:rFonts w:ascii="Times New Roman" w:eastAsia="Calibri" w:hAnsi="Times New Roman" w:cs="Times New Roman"/>
          <w:sz w:val="26"/>
          <w:szCs w:val="26"/>
        </w:rPr>
        <w:t xml:space="preserve">В том числе установлены поручни в подъезде жилого дома №7 по ул. Федорова и ванной комнате кв.121 данного подъезда.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9.2. Коммунальный комплекс.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Ресурсоснабжающим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предприятием в городском поселении Федоровский является МУП «Федоровское ЖКХ».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Теплоснабжение городского поселения Федоровский осуществляется муниципальной котельной, мощностью 110,33 Гкал/ч. Число центральных тепловых пунктов – 13 единиц, общая протяженность тепловых сетей городского поселения Федоровский в двухтрубном исполнении составляет 48,90 км, в том числе сети горячего водоснабжения 13,49 км.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Водоснабжение обеспечивается водоочистным сооружением мощностью 16 000м³/</w:t>
      </w:r>
      <w:proofErr w:type="spellStart"/>
      <w:proofErr w:type="gram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сут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.,</w:t>
      </w:r>
      <w:proofErr w:type="gram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протяженность водопроводных сетей – 38,04 км.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Водоотведение осуществляется при помощи канализационной насосной станции (в однотрубном исполнении) путем перекачки на канализационно-очистные сооружения мощностью 14 000м³/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сут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. для очистки и обеззараживания сточных вод. Протяженность сетей составляет 39,11 км.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Ежегодно разрабатываются и реализуются мероприятия на выполнение работ по ремонту объектов ЖКХ.</w:t>
      </w:r>
    </w:p>
    <w:p w:rsidR="00906264" w:rsidRPr="00906264" w:rsidRDefault="00906264" w:rsidP="0090626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 2024 году проведены: </w:t>
      </w:r>
    </w:p>
    <w:p w:rsidR="00906264" w:rsidRPr="00906264" w:rsidRDefault="00906264" w:rsidP="00906264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06264">
        <w:rPr>
          <w:rFonts w:ascii="Times New Roman" w:eastAsia="Calibri" w:hAnsi="Times New Roman" w:cs="Times New Roman"/>
          <w:sz w:val="26"/>
          <w:szCs w:val="26"/>
        </w:rPr>
        <w:t xml:space="preserve">- Капитальный ремонт (замена) котла КВГМ-30-150, зав.№ 9851 рег.№5 Котельная № 1А </w:t>
      </w:r>
      <w:proofErr w:type="spellStart"/>
      <w:r w:rsidRPr="00906264">
        <w:rPr>
          <w:rFonts w:ascii="Times New Roman" w:eastAsia="Calibri" w:hAnsi="Times New Roman" w:cs="Times New Roman"/>
          <w:sz w:val="26"/>
          <w:szCs w:val="26"/>
        </w:rPr>
        <w:t>г.п.Федоровский</w:t>
      </w:r>
      <w:proofErr w:type="spellEnd"/>
      <w:r w:rsidRPr="00906264">
        <w:rPr>
          <w:rFonts w:ascii="Times New Roman" w:eastAsia="Calibri" w:hAnsi="Times New Roman" w:cs="Times New Roman"/>
          <w:sz w:val="26"/>
          <w:szCs w:val="26"/>
        </w:rPr>
        <w:t xml:space="preserve"> Сургутский район, на сумму 20 193 045,00 руб.</w:t>
      </w:r>
    </w:p>
    <w:p w:rsidR="00906264" w:rsidRPr="00906264" w:rsidRDefault="00906264" w:rsidP="00906264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06264">
        <w:rPr>
          <w:rFonts w:ascii="Times New Roman" w:eastAsia="Calibri" w:hAnsi="Times New Roman" w:cs="Times New Roman"/>
          <w:sz w:val="26"/>
          <w:szCs w:val="26"/>
        </w:rPr>
        <w:t xml:space="preserve">- Капитальный ремонт канализационного коллектора от ВОС до ул. Пионерная (КК № 608) </w:t>
      </w:r>
      <w:proofErr w:type="spellStart"/>
      <w:r w:rsidRPr="00906264">
        <w:rPr>
          <w:rFonts w:ascii="Times New Roman" w:eastAsia="Calibri" w:hAnsi="Times New Roman" w:cs="Times New Roman"/>
          <w:sz w:val="26"/>
          <w:szCs w:val="26"/>
        </w:rPr>
        <w:t>г.п</w:t>
      </w:r>
      <w:proofErr w:type="spellEnd"/>
      <w:r w:rsidRPr="00906264">
        <w:rPr>
          <w:rFonts w:ascii="Times New Roman" w:eastAsia="Calibri" w:hAnsi="Times New Roman" w:cs="Times New Roman"/>
          <w:sz w:val="26"/>
          <w:szCs w:val="26"/>
        </w:rPr>
        <w:t>. Федоровский Сургутский район 1 этап, на сумму 16 181 484,49 руб.</w:t>
      </w:r>
    </w:p>
    <w:p w:rsidR="00906264" w:rsidRPr="00906264" w:rsidRDefault="00906264" w:rsidP="00906264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06264">
        <w:rPr>
          <w:rFonts w:ascii="Times New Roman" w:eastAsia="Calibri" w:hAnsi="Times New Roman" w:cs="Times New Roman"/>
          <w:sz w:val="26"/>
          <w:szCs w:val="26"/>
        </w:rPr>
        <w:t>- Текущий ремонт водозаборных скважин № 3 (СР-187), № 10 (СР-830), №13 (СР-832) на объекте ВОС 16000м3/</w:t>
      </w:r>
      <w:proofErr w:type="spellStart"/>
      <w:r w:rsidRPr="00906264">
        <w:rPr>
          <w:rFonts w:ascii="Times New Roman" w:eastAsia="Calibri" w:hAnsi="Times New Roman" w:cs="Times New Roman"/>
          <w:sz w:val="26"/>
          <w:szCs w:val="26"/>
        </w:rPr>
        <w:t>сут</w:t>
      </w:r>
      <w:proofErr w:type="spellEnd"/>
      <w:r w:rsidRPr="0090626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06264">
        <w:rPr>
          <w:rFonts w:ascii="Times New Roman" w:eastAsia="Calibri" w:hAnsi="Times New Roman" w:cs="Times New Roman"/>
          <w:sz w:val="26"/>
          <w:szCs w:val="26"/>
        </w:rPr>
        <w:t>г.п.Федоровский</w:t>
      </w:r>
      <w:proofErr w:type="spellEnd"/>
      <w:r w:rsidRPr="00906264">
        <w:rPr>
          <w:rFonts w:ascii="Times New Roman" w:eastAsia="Calibri" w:hAnsi="Times New Roman" w:cs="Times New Roman"/>
          <w:sz w:val="26"/>
          <w:szCs w:val="26"/>
        </w:rPr>
        <w:t>, на сумму 3 373 476,90 руб.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Важный вопрос, которому ежегодно уделяется большое внимание, – состояние инженерной инфраструктуры – сетей тепло-водоснабжения.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Реализация мероприятий в сфере коммунального комплекса, а также установление регулирующими органами предельных индексов изменения тарифов и установления предельных индексов изменения платы граждан за жилое помещение и коммунальные услуги позволяет сдерживать рост тарифов на жилищно-коммунальные услуги.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Ситуация с ростом задолженности населения за жилищно-коммунальные услуги в поселении остается напряженной. На конец 2024 года задолженность населения составила 147,95 млн. руб.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AD538A" wp14:editId="416A9B31">
            <wp:extent cx="4705350" cy="246697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МУП «Федоровское ЖКХ» проводит работу по взысканию задолженностей в судебном порядке, выписываются предупреждения, осуществляется взаимодействие с судебными приставами. Руководители организаций и учреждений проводят разъяснительную работу о необходимости своевременной оплаты за жилищно-коммунальные услуги. Наиболее результативные меры дает личное общение с гражданами, имеющими задолженность.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9.3. Благоустройство и улично-дорожная сеть.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Федоровский с каждым днем хорошеет благодаря труду многих людей. Чистота и уют, новые жилые дома, благоустроенные скверы, хорошие дороги – все это делает Федоровский местом, где хочется жить.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</w:pPr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 xml:space="preserve">Управляющая компания обеспечивает своевременную уборку территории домовладений, систематическое наблюдение за их санитарным состоянием, в том числе территории контейнерных площадок. 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настоящее время большое внимание уделяется содержанию и ремонту детских площадок и малых архитектурных форм. Данные работы проводятся ежегодно и круглогодично, чем обеспечивают сохранность детских площадок и малых архитектурных форм и обеспечивают их </w:t>
      </w:r>
      <w:proofErr w:type="spellStart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травмобезопасность</w:t>
      </w:r>
      <w:proofErr w:type="spellEnd"/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</w:p>
    <w:p w:rsidR="00906264" w:rsidRPr="00906264" w:rsidRDefault="00906264" w:rsidP="00906264">
      <w:pPr>
        <w:spacing w:after="0"/>
        <w:ind w:firstLine="709"/>
        <w:jc w:val="both"/>
        <w:outlineLvl w:val="2"/>
        <w:rPr>
          <w:rFonts w:ascii="Times New Roman" w:eastAsia="Calibri" w:hAnsi="Times New Roman" w:cs="Times New Roman"/>
          <w:sz w:val="26"/>
          <w:szCs w:val="26"/>
          <w:lang w:bidi="ru-RU"/>
        </w:rPr>
      </w:pPr>
      <w:r w:rsidRPr="00906264">
        <w:rPr>
          <w:rFonts w:ascii="Times New Roman" w:eastAsia="Calibri" w:hAnsi="Times New Roman" w:cs="Times New Roman"/>
          <w:bCs/>
          <w:iCs/>
          <w:sz w:val="26"/>
          <w:szCs w:val="26"/>
          <w:lang w:eastAsia="ru-RU"/>
        </w:rPr>
        <w:t xml:space="preserve">В рамках реализации программы «Формирование комфортной городской среды в городском поселении Федоровский» в </w:t>
      </w:r>
      <w:r w:rsidRPr="00906264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2024 году защищен проект на объект «Благоустройство территории в микрорайоне №4 (этап №1)» в городском поселении Федоровский, в результате чего данная общественная территория включена в адресный перечень территорий, подлежащих благоустройству в 2024-2026 годах </w:t>
      </w:r>
      <w:r w:rsidRPr="00906264">
        <w:rPr>
          <w:rFonts w:ascii="Times New Roman" w:eastAsia="Calibri" w:hAnsi="Times New Roman" w:cs="Times New Roman"/>
          <w:bCs/>
          <w:iCs/>
          <w:sz w:val="26"/>
          <w:szCs w:val="26"/>
        </w:rPr>
        <w:lastRenderedPageBreak/>
        <w:t>(постановление Правительства Ханты-Мансийского автономного округа –Югры от 15.12.2022 №673).</w:t>
      </w:r>
    </w:p>
    <w:p w:rsidR="00906264" w:rsidRPr="00906264" w:rsidRDefault="00906264" w:rsidP="00906264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мая по сентябрь отчетного года выполнялись работы по озеленению поселения - содержанию живой изгороди, высаженной вдоль проезда к дворовым территориям жилых домов №14, 14А, 16 ул. Ленина, содержанию кустарников, а также живой изгороди, высаженной на общественной территории </w:t>
      </w:r>
      <w:r w:rsidRPr="0090626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в 6 микрорайоне </w:t>
      </w: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ул. Ленина. Было приобретено 1 638 кустов цветочной рассады. </w:t>
      </w:r>
      <w:r w:rsidRPr="00906264">
        <w:rPr>
          <w:rFonts w:ascii="Times New Roman" w:eastAsia="Calibri" w:hAnsi="Times New Roman" w:cs="Times New Roman"/>
          <w:sz w:val="26"/>
          <w:szCs w:val="26"/>
        </w:rPr>
        <w:t xml:space="preserve">Цветочная рассада высажена на клумбе по ул. Ленина и в сквере им. Муравленко, а также в парке «Мечта Федоровский».  </w:t>
      </w:r>
    </w:p>
    <w:p w:rsidR="00906264" w:rsidRPr="00906264" w:rsidRDefault="00906264" w:rsidP="00906264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06264">
        <w:rPr>
          <w:rFonts w:ascii="Times New Roman" w:eastAsia="Calibri" w:hAnsi="Times New Roman" w:cs="Times New Roman"/>
          <w:sz w:val="26"/>
          <w:szCs w:val="26"/>
        </w:rPr>
        <w:t xml:space="preserve">В декабре отчетного года выполнены работы по устройству «Новогоднего городка 2024 – 2025». </w:t>
      </w:r>
    </w:p>
    <w:p w:rsidR="00906264" w:rsidRPr="00906264" w:rsidRDefault="00906264" w:rsidP="0090626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62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рамках муниципальной программы городского поселения Федоровский «Развитие дорожно-транспортного комплекса в городском поселении Федоровский» установлена</w:t>
      </w: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 искусственная неровность, </w:t>
      </w:r>
      <w:r w:rsidRPr="00906264">
        <w:rPr>
          <w:rFonts w:ascii="Times New Roman" w:eastAsia="Calibri" w:hAnsi="Times New Roman" w:cs="Times New Roman"/>
          <w:sz w:val="26"/>
          <w:szCs w:val="26"/>
        </w:rPr>
        <w:t>светофоры Т-7 на солнечных батареях и проекционный пешеходный переход,</w:t>
      </w: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также 16 дорожных знаков. </w:t>
      </w:r>
    </w:p>
    <w:p w:rsidR="00906264" w:rsidRPr="00906264" w:rsidRDefault="00906264" w:rsidP="0090626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Совместно с ПАО «Сургутнефтегаз» выполнен </w:t>
      </w:r>
      <w:r w:rsidRPr="00906264">
        <w:rPr>
          <w:rFonts w:ascii="Times New Roman" w:eastAsia="Calibri" w:hAnsi="Times New Roman" w:cs="Times New Roman"/>
          <w:sz w:val="26"/>
          <w:szCs w:val="26"/>
        </w:rPr>
        <w:t>капитальный ремонт дорожного полотна на автомобильной дороге общего пользования по ул. Пионерная.</w:t>
      </w:r>
    </w:p>
    <w:p w:rsidR="00906264" w:rsidRPr="00906264" w:rsidRDefault="00906264" w:rsidP="0090626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62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06264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исполнения полномочий по организации дорожной деятельности на автомобильных дорогах общего пользования выполнены мероприятия по восстановлению дорожной разметки.</w:t>
      </w:r>
    </w:p>
    <w:p w:rsidR="00906264" w:rsidRPr="00906264" w:rsidRDefault="00906264" w:rsidP="0090626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06264">
        <w:rPr>
          <w:rFonts w:ascii="Times New Roman" w:eastAsia="Calibri" w:hAnsi="Times New Roman" w:cs="Times New Roman"/>
          <w:sz w:val="26"/>
          <w:szCs w:val="26"/>
        </w:rPr>
        <w:t xml:space="preserve">Также выполнены работы по устройству пешеходных дорожек из асфальта-бетона по ул. Ломоносова (в районе СК «Жемчужина», в районе новых домов), и по ул. Ленина из тротуарной плитки. </w:t>
      </w:r>
    </w:p>
    <w:p w:rsidR="00906264" w:rsidRPr="00906264" w:rsidRDefault="00906264" w:rsidP="0090626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06264">
        <w:rPr>
          <w:rFonts w:ascii="Times New Roman" w:eastAsia="Calibri" w:hAnsi="Times New Roman" w:cs="Times New Roman"/>
          <w:sz w:val="26"/>
          <w:szCs w:val="26"/>
        </w:rPr>
        <w:t>Произведена замена дорожного ограждения по ул. Пионерная.</w:t>
      </w:r>
    </w:p>
    <w:p w:rsidR="00906264" w:rsidRPr="00906264" w:rsidRDefault="00906264" w:rsidP="0090626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 xml:space="preserve">В отчетном году пассажирооборот на общественном транспорте составил: 6931 тысячи </w:t>
      </w:r>
      <w:proofErr w:type="spellStart"/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>пассажиро</w:t>
      </w:r>
      <w:proofErr w:type="spellEnd"/>
      <w:r w:rsidRPr="00906264">
        <w:rPr>
          <w:rFonts w:ascii="Times New Roman" w:eastAsia="SimSun" w:hAnsi="Times New Roman" w:cs="Times New Roman"/>
          <w:color w:val="000000"/>
          <w:sz w:val="26"/>
          <w:szCs w:val="26"/>
          <w:lang w:eastAsia="ru-RU"/>
        </w:rPr>
        <w:t>-километров, перевезено 23 418 человек.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10. Закупка продукции для муниципальных нужд</w:t>
      </w:r>
    </w:p>
    <w:p w:rsidR="00906264" w:rsidRPr="00906264" w:rsidRDefault="00906264" w:rsidP="009062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Основным нормативно-правовым актом в 2024 году оставался Федеральный закон от 05.04.2013 № 44-ФЗ «О контрактной системе в сфере закупок товаров, работ, услуг для обеспечения государственных и муниципальных нужд. Федеральный закон от 05.04.2013 №44-ФЗ регулирует полный цикл осуществления закупок.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По итогам 2024 года объем продукции, закупаемой для муниципальных нужд за счет бюджета городского поселения Федоровский составил 142 588,21 тысяч рублей.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Эффективность осуществления закупок товаров, работ, услуг для обеспечения муниципальных нужд городского поселения Федоровский в 2024 г. составила 3199,04 тыс. руб., что составило 2,14 % к годовому объему закупок по городскому поселению.</w:t>
      </w:r>
    </w:p>
    <w:p w:rsidR="00906264" w:rsidRPr="00906264" w:rsidRDefault="00906264" w:rsidP="009062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906264" w:rsidRPr="00906264" w:rsidRDefault="00906264" w:rsidP="00906264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color w:val="000000"/>
          <w:sz w:val="26"/>
          <w:szCs w:val="26"/>
          <w:highlight w:val="yellow"/>
        </w:rPr>
      </w:pPr>
      <w:r w:rsidRPr="00906264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1D07A46" wp14:editId="25EF903F">
            <wp:extent cx="4410075" cy="274320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06264" w:rsidRPr="00906264" w:rsidRDefault="00906264" w:rsidP="009062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SimSun" w:hAnsi="Calibri" w:cs="Times New Roman"/>
          <w:color w:val="000000"/>
          <w:lang w:eastAsia="ru-RU"/>
        </w:rPr>
      </w:pPr>
      <w:r w:rsidRPr="00906264">
        <w:rPr>
          <w:rFonts w:ascii="Times New Roman" w:eastAsia="Calibri" w:hAnsi="Times New Roman" w:cs="Times New Roman"/>
          <w:color w:val="000000"/>
          <w:sz w:val="26"/>
          <w:szCs w:val="26"/>
        </w:rPr>
        <w:t>В 2024 году закупки товаров, работ, услуг осуществлялись в соответствии с законодательством о Контрактной системе для обеспечения муниципальных нужд по достижению целей и реализации мероприятий, предусмотренных муниципальными программами, основываясь на принципах открытости, прозрачности информации, обеспечения конкуренции.</w:t>
      </w:r>
    </w:p>
    <w:p w:rsidR="0059437F" w:rsidRDefault="0059437F"/>
    <w:sectPr w:rsidR="00594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1"/>
    <w:family w:val="roman"/>
    <w:pitch w:val="default"/>
    <w:sig w:usb0="00000000" w:usb1="500078FF" w:usb2="00000021" w:usb3="00000000" w:csb0="600001BF" w:csb1="DFF7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734CF"/>
    <w:multiLevelType w:val="multilevel"/>
    <w:tmpl w:val="4BDC91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59" w:hanging="720"/>
      </w:pPr>
    </w:lvl>
    <w:lvl w:ilvl="2">
      <w:start w:val="1"/>
      <w:numFmt w:val="decimal"/>
      <w:isLgl/>
      <w:lvlText w:val="%1.%2.%3."/>
      <w:lvlJc w:val="left"/>
      <w:pPr>
        <w:ind w:left="1438" w:hanging="720"/>
      </w:pPr>
    </w:lvl>
    <w:lvl w:ilvl="3">
      <w:start w:val="1"/>
      <w:numFmt w:val="decimal"/>
      <w:isLgl/>
      <w:lvlText w:val="%1.%2.%3.%4."/>
      <w:lvlJc w:val="left"/>
      <w:pPr>
        <w:ind w:left="1977" w:hanging="1080"/>
      </w:pPr>
    </w:lvl>
    <w:lvl w:ilvl="4">
      <w:start w:val="1"/>
      <w:numFmt w:val="decimal"/>
      <w:isLgl/>
      <w:lvlText w:val="%1.%2.%3.%4.%5."/>
      <w:lvlJc w:val="left"/>
      <w:pPr>
        <w:ind w:left="2156" w:hanging="1080"/>
      </w:pPr>
    </w:lvl>
    <w:lvl w:ilvl="5">
      <w:start w:val="1"/>
      <w:numFmt w:val="decimal"/>
      <w:isLgl/>
      <w:lvlText w:val="%1.%2.%3.%4.%5.%6."/>
      <w:lvlJc w:val="left"/>
      <w:pPr>
        <w:ind w:left="2695" w:hanging="1440"/>
      </w:pPr>
    </w:lvl>
    <w:lvl w:ilvl="6">
      <w:start w:val="1"/>
      <w:numFmt w:val="decimal"/>
      <w:isLgl/>
      <w:lvlText w:val="%1.%2.%3.%4.%5.%6.%7."/>
      <w:lvlJc w:val="left"/>
      <w:pPr>
        <w:ind w:left="3234" w:hanging="1800"/>
      </w:pPr>
    </w:lvl>
    <w:lvl w:ilvl="7">
      <w:start w:val="1"/>
      <w:numFmt w:val="decimal"/>
      <w:isLgl/>
      <w:lvlText w:val="%1.%2.%3.%4.%5.%6.%7.%8."/>
      <w:lvlJc w:val="left"/>
      <w:pPr>
        <w:ind w:left="3413" w:hanging="1800"/>
      </w:pPr>
    </w:lvl>
    <w:lvl w:ilvl="8">
      <w:start w:val="1"/>
      <w:numFmt w:val="decimal"/>
      <w:isLgl/>
      <w:lvlText w:val="%1.%2.%3.%4.%5.%6.%7.%8.%9."/>
      <w:lvlJc w:val="left"/>
      <w:pPr>
        <w:ind w:left="3952" w:hanging="2160"/>
      </w:pPr>
    </w:lvl>
  </w:abstractNum>
  <w:abstractNum w:abstractNumId="1">
    <w:nsid w:val="24FF09EB"/>
    <w:multiLevelType w:val="multilevel"/>
    <w:tmpl w:val="3148E8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</w:lvl>
    <w:lvl w:ilvl="2">
      <w:start w:val="1"/>
      <w:numFmt w:val="decimal"/>
      <w:isLgl/>
      <w:lvlText w:val="%1.%2.%3."/>
      <w:lvlJc w:val="left"/>
      <w:pPr>
        <w:ind w:left="1776" w:hanging="720"/>
      </w:pPr>
    </w:lvl>
    <w:lvl w:ilvl="3">
      <w:start w:val="1"/>
      <w:numFmt w:val="decimal"/>
      <w:isLgl/>
      <w:lvlText w:val="%1.%2.%3.%4."/>
      <w:lvlJc w:val="left"/>
      <w:pPr>
        <w:ind w:left="2484" w:hanging="1080"/>
      </w:pPr>
    </w:lvl>
    <w:lvl w:ilvl="4">
      <w:start w:val="1"/>
      <w:numFmt w:val="decimal"/>
      <w:isLgl/>
      <w:lvlText w:val="%1.%2.%3.%4.%5."/>
      <w:lvlJc w:val="left"/>
      <w:pPr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ind w:left="3540" w:hanging="1440"/>
      </w:pPr>
    </w:lvl>
    <w:lvl w:ilvl="6">
      <w:start w:val="1"/>
      <w:numFmt w:val="decimal"/>
      <w:isLgl/>
      <w:lvlText w:val="%1.%2.%3.%4.%5.%6.%7."/>
      <w:lvlJc w:val="left"/>
      <w:pPr>
        <w:ind w:left="4248" w:hanging="1800"/>
      </w:p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A23"/>
    <w:rsid w:val="001459F1"/>
    <w:rsid w:val="0059437F"/>
    <w:rsid w:val="00906264"/>
    <w:rsid w:val="00DB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0287A-F5E9-47DD-B237-06F7A4F9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06264"/>
    <w:pPr>
      <w:keepNext/>
      <w:keepLines/>
      <w:spacing w:before="240" w:after="0" w:line="240" w:lineRule="auto"/>
      <w:outlineLvl w:val="0"/>
    </w:pPr>
    <w:rPr>
      <w:rFonts w:ascii="Calibri Light" w:eastAsia="SimSun" w:hAnsi="Calibri Light" w:cs="Times New Roman"/>
      <w:color w:val="2E74B5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0626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06264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000000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06264"/>
    <w:pPr>
      <w:keepNext/>
      <w:spacing w:after="0" w:line="240" w:lineRule="auto"/>
      <w:outlineLvl w:val="3"/>
    </w:pPr>
    <w:rPr>
      <w:rFonts w:ascii="Arial" w:eastAsia="Times New Roman" w:hAnsi="Arial" w:cs="Arial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0626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0626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906264"/>
    <w:pPr>
      <w:tabs>
        <w:tab w:val="left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906264"/>
    <w:pPr>
      <w:tabs>
        <w:tab w:val="left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06264"/>
    <w:pPr>
      <w:tabs>
        <w:tab w:val="left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6264"/>
    <w:rPr>
      <w:rFonts w:ascii="Calibri Light" w:eastAsia="SimSun" w:hAnsi="Calibri Light" w:cs="Times New Roman"/>
      <w:color w:val="2E74B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0626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06264"/>
    <w:rPr>
      <w:rFonts w:ascii="Arial" w:eastAsia="Times New Roman" w:hAnsi="Arial" w:cs="Arial"/>
      <w:color w:val="00000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06264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0626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0626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9062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062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06264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06264"/>
  </w:style>
  <w:style w:type="paragraph" w:styleId="a3">
    <w:name w:val="Balloon Text"/>
    <w:basedOn w:val="a"/>
    <w:link w:val="a4"/>
    <w:unhideWhenUsed/>
    <w:rsid w:val="0090626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4">
    <w:name w:val="Текст выноски Знак"/>
    <w:basedOn w:val="a0"/>
    <w:link w:val="a3"/>
    <w:rsid w:val="00906264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906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906264"/>
  </w:style>
  <w:style w:type="character" w:styleId="a6">
    <w:name w:val="Hyperlink"/>
    <w:basedOn w:val="a0"/>
    <w:uiPriority w:val="99"/>
    <w:unhideWhenUsed/>
    <w:rsid w:val="00906264"/>
    <w:rPr>
      <w:color w:val="0000FF"/>
      <w:u w:val="single"/>
    </w:rPr>
  </w:style>
  <w:style w:type="character" w:styleId="a7">
    <w:name w:val="FollowedHyperlink"/>
    <w:basedOn w:val="a0"/>
    <w:uiPriority w:val="99"/>
    <w:unhideWhenUsed/>
    <w:rsid w:val="00906264"/>
    <w:rPr>
      <w:color w:val="800080"/>
      <w:u w:val="single"/>
    </w:rPr>
  </w:style>
  <w:style w:type="paragraph" w:customStyle="1" w:styleId="xl66">
    <w:name w:val="xl66"/>
    <w:basedOn w:val="a"/>
    <w:qFormat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qFormat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qFormat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0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qFormat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5">
    <w:name w:val="xl75"/>
    <w:basedOn w:val="a"/>
    <w:rsid w:val="0090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76">
    <w:name w:val="xl76"/>
    <w:basedOn w:val="a"/>
    <w:qFormat/>
    <w:rsid w:val="0090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qFormat/>
    <w:rsid w:val="009062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qFormat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90626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qFormat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906264"/>
    <w:rPr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906264"/>
  </w:style>
  <w:style w:type="numbering" w:customStyle="1" w:styleId="111">
    <w:name w:val="Нет списка111"/>
    <w:next w:val="a2"/>
    <w:uiPriority w:val="99"/>
    <w:semiHidden/>
    <w:unhideWhenUsed/>
    <w:rsid w:val="00906264"/>
  </w:style>
  <w:style w:type="table" w:customStyle="1" w:styleId="12">
    <w:name w:val="Сетка таблицы1"/>
    <w:basedOn w:val="a1"/>
    <w:next w:val="a5"/>
    <w:uiPriority w:val="59"/>
    <w:rsid w:val="0090626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аголовок 11"/>
    <w:basedOn w:val="a"/>
    <w:next w:val="a"/>
    <w:qFormat/>
    <w:rsid w:val="00906264"/>
    <w:pPr>
      <w:keepNext/>
      <w:keepLines/>
      <w:spacing w:before="240" w:after="0" w:line="240" w:lineRule="auto"/>
      <w:outlineLvl w:val="0"/>
    </w:pPr>
    <w:rPr>
      <w:rFonts w:ascii="Calibri Light" w:eastAsia="SimSun" w:hAnsi="Calibri Light" w:cs="Times New Roman"/>
      <w:color w:val="2E74B5"/>
      <w:sz w:val="32"/>
      <w:szCs w:val="32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906264"/>
  </w:style>
  <w:style w:type="character" w:styleId="a9">
    <w:name w:val="footnote reference"/>
    <w:qFormat/>
    <w:rsid w:val="0090626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qFormat/>
    <w:rsid w:val="00906264"/>
    <w:rPr>
      <w:sz w:val="16"/>
      <w:szCs w:val="16"/>
    </w:rPr>
  </w:style>
  <w:style w:type="character" w:styleId="ab">
    <w:name w:val="endnote reference"/>
    <w:qFormat/>
    <w:rsid w:val="00906264"/>
    <w:rPr>
      <w:vertAlign w:val="superscript"/>
    </w:rPr>
  </w:style>
  <w:style w:type="character" w:styleId="ac">
    <w:name w:val="Emphasis"/>
    <w:uiPriority w:val="20"/>
    <w:qFormat/>
    <w:rsid w:val="00906264"/>
    <w:rPr>
      <w:i/>
      <w:iCs/>
    </w:rPr>
  </w:style>
  <w:style w:type="character" w:styleId="ad">
    <w:name w:val="page number"/>
    <w:basedOn w:val="a0"/>
    <w:rsid w:val="00906264"/>
  </w:style>
  <w:style w:type="paragraph" w:styleId="22">
    <w:name w:val="Body Text 2"/>
    <w:basedOn w:val="a"/>
    <w:link w:val="23"/>
    <w:qFormat/>
    <w:rsid w:val="00906264"/>
    <w:pPr>
      <w:spacing w:after="0" w:line="240" w:lineRule="auto"/>
    </w:pPr>
    <w:rPr>
      <w:rFonts w:ascii="Arial" w:eastAsia="Times New Roman" w:hAnsi="Arial" w:cs="Arial"/>
      <w:sz w:val="28"/>
      <w:szCs w:val="24"/>
      <w:lang w:eastAsia="ru-RU"/>
    </w:rPr>
  </w:style>
  <w:style w:type="character" w:customStyle="1" w:styleId="23">
    <w:name w:val="Основной текст 2 Знак"/>
    <w:basedOn w:val="a0"/>
    <w:link w:val="22"/>
    <w:qFormat/>
    <w:rsid w:val="00906264"/>
    <w:rPr>
      <w:rFonts w:ascii="Arial" w:eastAsia="Times New Roman" w:hAnsi="Arial" w:cs="Arial"/>
      <w:sz w:val="28"/>
      <w:szCs w:val="24"/>
      <w:lang w:eastAsia="ru-RU"/>
    </w:rPr>
  </w:style>
  <w:style w:type="paragraph" w:styleId="ae">
    <w:name w:val="Plain Text"/>
    <w:basedOn w:val="a"/>
    <w:link w:val="af"/>
    <w:unhideWhenUsed/>
    <w:rsid w:val="00906264"/>
    <w:pPr>
      <w:spacing w:after="0" w:line="240" w:lineRule="auto"/>
      <w:ind w:firstLine="709"/>
      <w:jc w:val="both"/>
    </w:pPr>
    <w:rPr>
      <w:rFonts w:ascii="Consolas" w:eastAsia="Calibri" w:hAnsi="Consolas" w:cs="Times New Roman"/>
      <w:sz w:val="21"/>
      <w:szCs w:val="21"/>
    </w:rPr>
  </w:style>
  <w:style w:type="character" w:customStyle="1" w:styleId="af">
    <w:name w:val="Текст Знак"/>
    <w:basedOn w:val="a0"/>
    <w:link w:val="ae"/>
    <w:qFormat/>
    <w:rsid w:val="00906264"/>
    <w:rPr>
      <w:rFonts w:ascii="Consolas" w:eastAsia="Calibri" w:hAnsi="Consolas" w:cs="Times New Roman"/>
      <w:sz w:val="21"/>
      <w:szCs w:val="21"/>
    </w:rPr>
  </w:style>
  <w:style w:type="paragraph" w:styleId="af0">
    <w:name w:val="endnote text"/>
    <w:basedOn w:val="a"/>
    <w:link w:val="af1"/>
    <w:qFormat/>
    <w:rsid w:val="00906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qFormat/>
    <w:rsid w:val="009062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text"/>
    <w:basedOn w:val="a"/>
    <w:link w:val="af3"/>
    <w:uiPriority w:val="99"/>
    <w:semiHidden/>
    <w:unhideWhenUsed/>
    <w:qFormat/>
    <w:rsid w:val="00906264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qFormat/>
    <w:rsid w:val="00906264"/>
    <w:rPr>
      <w:rFonts w:ascii="Calibri" w:eastAsia="Calibri" w:hAnsi="Calibri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qFormat/>
    <w:rsid w:val="0090626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qFormat/>
    <w:rsid w:val="00906264"/>
    <w:rPr>
      <w:rFonts w:ascii="Calibri" w:eastAsia="Calibri" w:hAnsi="Calibri" w:cs="Times New Roman"/>
      <w:b/>
      <w:bCs/>
      <w:sz w:val="20"/>
      <w:szCs w:val="20"/>
    </w:rPr>
  </w:style>
  <w:style w:type="paragraph" w:styleId="af6">
    <w:name w:val="footnote text"/>
    <w:basedOn w:val="a"/>
    <w:link w:val="af7"/>
    <w:qFormat/>
    <w:rsid w:val="00906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qFormat/>
    <w:rsid w:val="009062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header"/>
    <w:basedOn w:val="a"/>
    <w:link w:val="af9"/>
    <w:qFormat/>
    <w:rsid w:val="009062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Верхний колонтитул Знак"/>
    <w:basedOn w:val="a0"/>
    <w:link w:val="af8"/>
    <w:rsid w:val="00906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rsid w:val="0090626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9062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c">
    <w:name w:val="Body Text Indent"/>
    <w:basedOn w:val="a"/>
    <w:link w:val="afd"/>
    <w:rsid w:val="009062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rsid w:val="00906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Title"/>
    <w:basedOn w:val="a"/>
    <w:link w:val="aff"/>
    <w:qFormat/>
    <w:rsid w:val="0090626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ff">
    <w:name w:val="Название Знак"/>
    <w:basedOn w:val="a0"/>
    <w:link w:val="afe"/>
    <w:qFormat/>
    <w:rsid w:val="00906264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ff0">
    <w:name w:val="footer"/>
    <w:basedOn w:val="a"/>
    <w:link w:val="aff1"/>
    <w:qFormat/>
    <w:rsid w:val="009062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Нижний колонтитул Знак"/>
    <w:basedOn w:val="a0"/>
    <w:link w:val="aff0"/>
    <w:qFormat/>
    <w:rsid w:val="00906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Normal (Web)"/>
    <w:basedOn w:val="a"/>
    <w:uiPriority w:val="99"/>
    <w:unhideWhenUsed/>
    <w:rsid w:val="0090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9062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9062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rsid w:val="0090626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906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Block Text"/>
    <w:basedOn w:val="a"/>
    <w:qFormat/>
    <w:rsid w:val="00906264"/>
    <w:pPr>
      <w:shd w:val="clear" w:color="auto" w:fill="FFFFFF"/>
      <w:spacing w:before="72" w:after="0" w:line="295" w:lineRule="exact"/>
      <w:ind w:left="482" w:right="698"/>
      <w:jc w:val="both"/>
    </w:pPr>
    <w:rPr>
      <w:rFonts w:ascii="Times New Roman" w:eastAsia="Times New Roman" w:hAnsi="Times New Roman" w:cs="Times New Roman"/>
      <w:bCs/>
      <w:color w:val="000000"/>
      <w:spacing w:val="-2"/>
      <w:sz w:val="28"/>
      <w:szCs w:val="26"/>
      <w:lang w:eastAsia="ru-RU"/>
    </w:rPr>
  </w:style>
  <w:style w:type="table" w:customStyle="1" w:styleId="26">
    <w:name w:val="Сетка таблицы2"/>
    <w:basedOn w:val="a1"/>
    <w:next w:val="a5"/>
    <w:uiPriority w:val="59"/>
    <w:rsid w:val="00906264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 Spacing"/>
    <w:link w:val="aff5"/>
    <w:qFormat/>
    <w:rsid w:val="00906264"/>
    <w:pPr>
      <w:spacing w:after="0" w:line="240" w:lineRule="auto"/>
    </w:pPr>
    <w:rPr>
      <w:lang w:val="en-US" w:bidi="en-US"/>
    </w:rPr>
  </w:style>
  <w:style w:type="character" w:customStyle="1" w:styleId="aff5">
    <w:name w:val="Без интервала Знак"/>
    <w:basedOn w:val="a0"/>
    <w:link w:val="aff4"/>
    <w:rsid w:val="00906264"/>
    <w:rPr>
      <w:lang w:val="en-US" w:bidi="en-US"/>
    </w:rPr>
  </w:style>
  <w:style w:type="paragraph" w:customStyle="1" w:styleId="Default">
    <w:name w:val="Default"/>
    <w:rsid w:val="009062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qFormat/>
    <w:rsid w:val="009062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ConsPlusNormal0">
    <w:name w:val="ConsPlusNormal Знак"/>
    <w:basedOn w:val="a0"/>
    <w:link w:val="ConsPlusNormal"/>
    <w:locked/>
    <w:rsid w:val="00906264"/>
    <w:rPr>
      <w:rFonts w:ascii="Times New Roman" w:hAnsi="Times New Roman" w:cs="Times New Roman"/>
      <w:sz w:val="28"/>
      <w:szCs w:val="28"/>
    </w:rPr>
  </w:style>
  <w:style w:type="paragraph" w:styleId="aff6">
    <w:name w:val="List Paragraph"/>
    <w:basedOn w:val="a"/>
    <w:link w:val="aff7"/>
    <w:qFormat/>
    <w:rsid w:val="00906264"/>
    <w:pPr>
      <w:ind w:left="720"/>
      <w:contextualSpacing/>
    </w:pPr>
    <w:rPr>
      <w:rFonts w:ascii="Calibri" w:eastAsia="Calibri" w:hAnsi="Calibri" w:cs="Times New Roman"/>
    </w:rPr>
  </w:style>
  <w:style w:type="table" w:customStyle="1" w:styleId="33">
    <w:name w:val="Сетка таблицы3"/>
    <w:basedOn w:val="a1"/>
    <w:uiPriority w:val="39"/>
    <w:qFormat/>
    <w:rsid w:val="00906264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8">
    <w:name w:val="Знак Знак Знак Знак"/>
    <w:basedOn w:val="a"/>
    <w:rsid w:val="0090626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Nonformat">
    <w:name w:val="ConsPlusNonformat"/>
    <w:rsid w:val="009062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062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3">
    <w:name w:val="Сетка таблицы11"/>
    <w:basedOn w:val="a1"/>
    <w:uiPriority w:val="59"/>
    <w:qFormat/>
    <w:rsid w:val="00906264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906264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qFormat/>
    <w:rsid w:val="00906264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90626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062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3">
    <w:name w:val="xl93"/>
    <w:basedOn w:val="a"/>
    <w:rsid w:val="00906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Grid">
    <w:name w:val="TableGrid"/>
    <w:qFormat/>
    <w:rsid w:val="00906264"/>
    <w:pPr>
      <w:spacing w:after="0" w:line="240" w:lineRule="auto"/>
    </w:pPr>
    <w:rPr>
      <w:rFonts w:eastAsia="SimSu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qFormat/>
    <w:rsid w:val="0090626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3">
    <w:name w:val="Стиль1"/>
    <w:basedOn w:val="a"/>
    <w:rsid w:val="009062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Noeeu1">
    <w:name w:val="Noeeu1"/>
    <w:basedOn w:val="a"/>
    <w:rsid w:val="009062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ConsNormal">
    <w:name w:val="ConsNormal"/>
    <w:rsid w:val="0090626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">
    <w:name w:val="Style2"/>
    <w:basedOn w:val="a"/>
    <w:qFormat/>
    <w:rsid w:val="009062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90626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062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qFormat/>
    <w:rsid w:val="00906264"/>
    <w:rPr>
      <w:rFonts w:ascii="Times New Roman" w:hAnsi="Times New Roman" w:cs="Times New Roman"/>
      <w:sz w:val="26"/>
      <w:szCs w:val="26"/>
    </w:rPr>
  </w:style>
  <w:style w:type="paragraph" w:customStyle="1" w:styleId="14">
    <w:name w:val="Абзац списка1"/>
    <w:basedOn w:val="a"/>
    <w:rsid w:val="0090626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qFormat/>
    <w:rsid w:val="0090626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character" w:customStyle="1" w:styleId="114">
    <w:name w:val="Знак Знак11"/>
    <w:qFormat/>
    <w:rsid w:val="00906264"/>
    <w:rPr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qFormat/>
    <w:rsid w:val="009062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"/>
    <w:basedOn w:val="a"/>
    <w:qFormat/>
    <w:rsid w:val="00906264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Web">
    <w:name w:val="Обычный (Web)"/>
    <w:basedOn w:val="a"/>
    <w:qFormat/>
    <w:rsid w:val="0090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  <w:rsid w:val="00906264"/>
  </w:style>
  <w:style w:type="character" w:customStyle="1" w:styleId="aff7">
    <w:name w:val="Абзац списка Знак"/>
    <w:link w:val="aff6"/>
    <w:qFormat/>
    <w:locked/>
    <w:rsid w:val="00906264"/>
    <w:rPr>
      <w:rFonts w:ascii="Calibri" w:eastAsia="Calibri" w:hAnsi="Calibri" w:cs="Times New Roman"/>
    </w:rPr>
  </w:style>
  <w:style w:type="table" w:customStyle="1" w:styleId="1110">
    <w:name w:val="Сетка таблицы111"/>
    <w:basedOn w:val="a1"/>
    <w:uiPriority w:val="39"/>
    <w:qFormat/>
    <w:rsid w:val="00906264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qFormat/>
    <w:rsid w:val="009062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99"/>
    <w:qFormat/>
    <w:rsid w:val="00906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Текст примечания Знак1"/>
    <w:basedOn w:val="a0"/>
    <w:uiPriority w:val="99"/>
    <w:semiHidden/>
    <w:qFormat/>
    <w:rsid w:val="00906264"/>
    <w:rPr>
      <w:sz w:val="20"/>
      <w:szCs w:val="20"/>
    </w:rPr>
  </w:style>
  <w:style w:type="character" w:customStyle="1" w:styleId="17">
    <w:name w:val="Тема примечания Знак1"/>
    <w:basedOn w:val="16"/>
    <w:uiPriority w:val="99"/>
    <w:semiHidden/>
    <w:qFormat/>
    <w:rsid w:val="00906264"/>
    <w:rPr>
      <w:b/>
      <w:bCs/>
      <w:sz w:val="20"/>
      <w:szCs w:val="20"/>
    </w:rPr>
  </w:style>
  <w:style w:type="paragraph" w:customStyle="1" w:styleId="formattext">
    <w:name w:val="formattext"/>
    <w:basedOn w:val="a"/>
    <w:qFormat/>
    <w:rsid w:val="0090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qFormat/>
    <w:rsid w:val="0090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uiPriority w:val="99"/>
    <w:qFormat/>
    <w:rsid w:val="00906264"/>
  </w:style>
  <w:style w:type="paragraph" w:customStyle="1" w:styleId="Standard">
    <w:name w:val="Standard"/>
    <w:qFormat/>
    <w:rsid w:val="00906264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character" w:customStyle="1" w:styleId="affa">
    <w:name w:val="Основной текст_"/>
    <w:basedOn w:val="a0"/>
    <w:link w:val="18"/>
    <w:qFormat/>
    <w:locked/>
    <w:rsid w:val="00906264"/>
    <w:rPr>
      <w:rFonts w:ascii="Times New Roman" w:eastAsia="Times New Roman" w:hAnsi="Times New Roman" w:cs="Times New Roman"/>
      <w:spacing w:val="9"/>
      <w:shd w:val="clear" w:color="auto" w:fill="FFFFFF"/>
    </w:rPr>
  </w:style>
  <w:style w:type="paragraph" w:customStyle="1" w:styleId="18">
    <w:name w:val="Основной текст1"/>
    <w:basedOn w:val="a"/>
    <w:link w:val="affa"/>
    <w:qFormat/>
    <w:rsid w:val="00906264"/>
    <w:pPr>
      <w:widowControl w:val="0"/>
      <w:shd w:val="clear" w:color="auto" w:fill="FFFFFF"/>
      <w:spacing w:after="0" w:line="480" w:lineRule="exact"/>
      <w:ind w:firstLine="560"/>
      <w:jc w:val="both"/>
    </w:pPr>
    <w:rPr>
      <w:rFonts w:ascii="Times New Roman" w:eastAsia="Times New Roman" w:hAnsi="Times New Roman" w:cs="Times New Roman"/>
      <w:spacing w:val="9"/>
    </w:rPr>
  </w:style>
  <w:style w:type="character" w:customStyle="1" w:styleId="27">
    <w:name w:val="Основной текст (2)"/>
    <w:basedOn w:val="a0"/>
    <w:qFormat/>
    <w:rsid w:val="00906264"/>
    <w:rPr>
      <w:rFonts w:ascii="Times New Roman" w:eastAsia="Times New Roman" w:hAnsi="Times New Roman" w:cs="Times New Roman"/>
      <w:b/>
      <w:bCs/>
      <w:color w:val="000000"/>
      <w:spacing w:val="14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71">
    <w:name w:val="Основной текст7"/>
    <w:basedOn w:val="a"/>
    <w:qFormat/>
    <w:rsid w:val="00906264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pacing w:val="13"/>
      <w:sz w:val="18"/>
      <w:szCs w:val="18"/>
    </w:rPr>
  </w:style>
  <w:style w:type="table" w:customStyle="1" w:styleId="41">
    <w:name w:val="Сетка таблицы4"/>
    <w:basedOn w:val="a1"/>
    <w:uiPriority w:val="59"/>
    <w:qFormat/>
    <w:rsid w:val="00906264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qFormat/>
    <w:rsid w:val="00906264"/>
    <w:pPr>
      <w:spacing w:after="0" w:line="240" w:lineRule="auto"/>
    </w:pPr>
    <w:rPr>
      <w:rFonts w:eastAsia="SimSu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qFormat/>
    <w:rsid w:val="00906264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1"/>
    <w:uiPriority w:val="59"/>
    <w:qFormat/>
    <w:rsid w:val="00906264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uiPriority w:val="39"/>
    <w:qFormat/>
    <w:rsid w:val="00906264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">
    <w:name w:val="Заголовок 1 Знак1"/>
    <w:basedOn w:val="a0"/>
    <w:uiPriority w:val="9"/>
    <w:rsid w:val="009062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1.jpeg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72;&#1073;&#1086;&#1095;&#1080;&#1081;%20&#1089;&#1090;&#1086;&#1083;\&#1057;&#1069;&#1056;\&#1054;&#1058;&#1063;&#1045;&#1058;%20&#1057;&#1069;&#1056;%20&#1048;&#1058;&#1054;&#1043;&#1048;\&#1086;&#1090;&#1095;&#1077;&#1090;%20&#1079;&#1072;%202024\&#1076;&#1080;&#1072;&#1075;&#1088;&#1072;&#1084;&#1084;&#1099;\&#1076;&#1080;&#1072;&#1075;&#1088;&#1072;&#1084;&#1084;&#1099;.xls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72;&#1073;&#1086;&#1095;&#1080;&#1081;%20&#1089;&#1090;&#1086;&#1083;\&#1057;&#1069;&#1056;\&#1054;&#1058;&#1063;&#1045;&#1058;%20&#1057;&#1069;&#1056;%20&#1048;&#1058;&#1054;&#1043;&#1048;\&#1086;&#1090;&#1095;&#1077;&#1090;%20&#1079;&#1072;%202024\&#1076;&#1080;&#1072;&#1075;&#1088;&#1072;&#1084;&#1084;&#1099;\&#1076;&#1080;&#1072;&#1075;&#1088;&#1072;&#1084;&#1084;&#1099;.xls" TargetMode="External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72;&#1073;&#1086;&#1095;&#1080;&#1081;%20&#1089;&#1090;&#1086;&#1083;\&#1057;&#1069;&#1056;\&#1054;&#1058;&#1063;&#1045;&#1058;%20&#1057;&#1069;&#1056;%20&#1048;&#1058;&#1054;&#1043;&#1048;\&#1086;&#1090;&#1095;&#1077;&#1090;%20&#1079;&#1072;%202024\&#1076;&#1080;&#1072;&#1075;&#1088;&#1072;&#1084;&#1084;&#1099;\&#1076;&#1080;&#1072;&#1075;&#1088;&#1072;&#1084;&#1084;&#1099;-12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72;&#1073;&#1086;&#1095;&#1080;&#1081;%20&#1089;&#1090;&#1086;&#1083;\&#1057;&#1069;&#1056;\&#1054;&#1058;&#1063;&#1045;&#1058;%20&#1057;&#1069;&#1056;%20&#1048;&#1058;&#1054;&#1043;&#1048;\&#1086;&#1090;&#1095;&#1077;&#1090;%20&#1079;&#1072;%202024\&#1076;&#1080;&#1072;&#1075;&#1088;&#1072;&#1084;&#1084;&#1099;\&#1076;&#1080;&#1072;&#1075;&#1088;&#1072;&#1084;&#1084;&#1099;.xls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72;&#1073;&#1086;&#1095;&#1080;&#1081;%20&#1089;&#1090;&#1086;&#1083;\&#1057;&#1069;&#1056;\&#1054;&#1058;&#1063;&#1045;&#1058;%20&#1057;&#1069;&#1056;%20&#1048;&#1058;&#1054;&#1043;&#1048;\&#1086;&#1090;&#1095;&#1077;&#1090;%20&#1079;&#1072;%202024\&#1076;&#1080;&#1072;&#1075;&#1088;&#1072;&#1084;&#1084;&#1099;\&#1076;&#1080;&#1072;&#1075;&#1088;&#1072;&#1084;&#1084;&#1099;.xls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72;&#1073;&#1086;&#1095;&#1080;&#1081;%20&#1089;&#1090;&#1086;&#1083;\&#1057;&#1069;&#1056;\&#1054;&#1058;&#1063;&#1045;&#1058;%20&#1057;&#1069;&#1056;%20&#1048;&#1058;&#1054;&#1043;&#1048;\&#1086;&#1090;&#1095;&#1077;&#1090;%20&#1079;&#1072;%202024\&#1076;&#1080;&#1072;&#1075;&#1088;&#1072;&#1084;&#1084;&#1099;\&#1076;&#1080;&#1072;&#1075;&#1088;&#1072;&#1084;&#1084;&#1099;.xls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Численность населения</a:t>
            </a:r>
          </a:p>
        </c:rich>
      </c:tx>
      <c:overlay val="0"/>
    </c:title>
    <c:autoTitleDeleted val="0"/>
    <c:view3D>
      <c:rotX val="10"/>
      <c:rotY val="40"/>
      <c:depthPercent val="100"/>
      <c:rAngAx val="0"/>
    </c:view3D>
    <c:floor>
      <c:thickness val="0"/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path path="rect">
            <a:fillToRect t="100000" r="100000"/>
          </a:path>
        </a:gradFill>
      </c:spPr>
    </c:floor>
    <c:sideWall>
      <c:thickness val="0"/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path path="rect">
            <a:fillToRect t="100000" r="100000"/>
          </a:path>
          <a:tileRect l="-100000" b="-100000"/>
        </a:gradFill>
      </c:spPr>
    </c:sideWall>
    <c:backWall>
      <c:thickness val="0"/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path path="rect">
            <a:fillToRect t="100000" r="100000"/>
          </a:path>
          <a:tileRect l="-100000" b="-100000"/>
        </a:gradFill>
      </c:spPr>
    </c:backWall>
    <c:plotArea>
      <c:layout>
        <c:manualLayout>
          <c:layoutTarget val="inner"/>
          <c:xMode val="edge"/>
          <c:yMode val="edge"/>
          <c:x val="0.12584247835162338"/>
          <c:y val="0.26785761154855642"/>
          <c:w val="0.79038295409924153"/>
          <c:h val="0.56967017221022287"/>
        </c:manualLayout>
      </c:layout>
      <c:area3DChart>
        <c:grouping val="standard"/>
        <c:varyColors val="0"/>
        <c:ser>
          <c:idx val="0"/>
          <c:order val="0"/>
          <c:tx>
            <c:v>Численность населения</c:v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2700000" scaled="1"/>
              <a:tileRect/>
            </a:gradFill>
            <a:effectLst>
              <a:innerShdw blurRad="63500" dist="50800" dir="18900000">
                <a:prstClr val="black">
                  <a:alpha val="50000"/>
                </a:prstClr>
              </a:innerShdw>
            </a:effectLst>
          </c:spPr>
          <c:dLbls>
            <c:dLbl>
              <c:idx val="0"/>
              <c:layout>
                <c:manualLayout>
                  <c:x val="-5.2493438320209973E-3"/>
                  <c:y val="-9.523809523809523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748031496062895E-2"/>
                  <c:y val="-7.7380952380952384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11904761904761904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Демография!$B$7:$D$7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Демография!$B$8:$D$8</c:f>
              <c:numCache>
                <c:formatCode>General</c:formatCode>
                <c:ptCount val="3"/>
                <c:pt idx="0">
                  <c:v>23966</c:v>
                </c:pt>
                <c:pt idx="1">
                  <c:v>24596</c:v>
                </c:pt>
                <c:pt idx="2">
                  <c:v>24466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8783680"/>
        <c:axId val="538774272"/>
        <c:axId val="607656920"/>
      </c:area3DChart>
      <c:catAx>
        <c:axId val="538783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38774272"/>
        <c:crosses val="autoZero"/>
        <c:auto val="1"/>
        <c:lblAlgn val="ctr"/>
        <c:lblOffset val="100"/>
        <c:noMultiLvlLbl val="0"/>
      </c:catAx>
      <c:valAx>
        <c:axId val="538774272"/>
        <c:scaling>
          <c:orientation val="minMax"/>
        </c:scaling>
        <c:delete val="0"/>
        <c:axPos val="l"/>
        <c:majorGridlines>
          <c:spPr>
            <a:effectLst>
              <a:innerShdw blurRad="63500" dist="50800" dir="8100000">
                <a:schemeClr val="accent2">
                  <a:lumMod val="40000"/>
                  <a:lumOff val="60000"/>
                  <a:alpha val="50000"/>
                </a:schemeClr>
              </a:innerShdw>
            </a:effectLst>
          </c:spPr>
        </c:majorGridlines>
        <c:numFmt formatCode="General" sourceLinked="1"/>
        <c:majorTickMark val="out"/>
        <c:minorTickMark val="none"/>
        <c:tickLblPos val="nextTo"/>
        <c:crossAx val="538783680"/>
        <c:crosses val="autoZero"/>
        <c:crossBetween val="midCat"/>
      </c:valAx>
      <c:serAx>
        <c:axId val="607656920"/>
        <c:scaling>
          <c:orientation val="minMax"/>
        </c:scaling>
        <c:delete val="1"/>
        <c:axPos val="b"/>
        <c:majorTickMark val="out"/>
        <c:minorTickMark val="none"/>
        <c:tickLblPos val="nextTo"/>
        <c:crossAx val="538774272"/>
        <c:crosses val="autoZero"/>
      </c:serAx>
      <c:spPr>
        <a:noFill/>
        <a:ln w="25400">
          <a:noFill/>
        </a:ln>
      </c:spPr>
    </c:plotArea>
    <c:plotVisOnly val="1"/>
    <c:dispBlanksAs val="zero"/>
    <c:showDLblsOverMax val="0"/>
  </c:chart>
  <c:spPr>
    <a:ln w="6350" cmpd="sng">
      <a:solidFill>
        <a:schemeClr val="accent1">
          <a:lumMod val="50000"/>
        </a:schemeClr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Жилищный фонд </a:t>
            </a:r>
          </a:p>
        </c:rich>
      </c:tx>
      <c:layout>
        <c:manualLayout>
          <c:xMode val="edge"/>
          <c:yMode val="edge"/>
          <c:x val="0.41487270135189147"/>
          <c:y val="0"/>
        </c:manualLayout>
      </c:layout>
      <c:overlay val="1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5624858931945543"/>
          <c:w val="1"/>
          <c:h val="0.83843306408404372"/>
        </c:manualLayout>
      </c:layout>
      <c:pie3DChart>
        <c:varyColors val="1"/>
        <c:ser>
          <c:idx val="0"/>
          <c:order val="0"/>
          <c:tx>
            <c:strRef>
              <c:f>жил.фонд.!$A$3:$A$6</c:f>
              <c:strCache>
                <c:ptCount val="4"/>
                <c:pt idx="0">
                  <c:v>жилищный фонд</c:v>
                </c:pt>
                <c:pt idx="1">
                  <c:v>ветхий жилищный фонд</c:v>
                </c:pt>
                <c:pt idx="2">
                  <c:v>экологически неблагоприятный жилищный фонд</c:v>
                </c:pt>
                <c:pt idx="3">
                  <c:v>аварийный жилищный фонд</c:v>
                </c:pt>
              </c:strCache>
            </c:strRef>
          </c:tx>
          <c:explosion val="10"/>
          <c:dPt>
            <c:idx val="0"/>
            <c:bubble3D val="0"/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CC00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Lbls>
            <c:dLbl>
              <c:idx val="1"/>
              <c:layout>
                <c:manualLayout>
                  <c:x val="0"/>
                  <c:y val="-4.579785373432814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9.813825800213167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жил.фонд.!$A$3:$A$6</c:f>
              <c:strCache>
                <c:ptCount val="4"/>
                <c:pt idx="0">
                  <c:v>жилищный фонд</c:v>
                </c:pt>
                <c:pt idx="1">
                  <c:v>ветхий жилищный фонд</c:v>
                </c:pt>
                <c:pt idx="2">
                  <c:v>экологически неблагоприятный жилищный фонд</c:v>
                </c:pt>
                <c:pt idx="3">
                  <c:v>аварийный жилищный фонд</c:v>
                </c:pt>
              </c:strCache>
            </c:strRef>
          </c:cat>
          <c:val>
            <c:numRef>
              <c:f>жил.фонд.!$C$3:$C$6</c:f>
              <c:numCache>
                <c:formatCode>0.00%</c:formatCode>
                <c:ptCount val="4"/>
                <c:pt idx="0">
                  <c:v>0.74099999999999999</c:v>
                </c:pt>
                <c:pt idx="1">
                  <c:v>7.0000000000000001E-3</c:v>
                </c:pt>
                <c:pt idx="2">
                  <c:v>2.8000000000000001E-2</c:v>
                </c:pt>
                <c:pt idx="3">
                  <c:v>0.22140000000000001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700609995687584E-2"/>
          <c:y val="0.14765743442908796"/>
          <c:w val="0.90156374984940613"/>
          <c:h val="0.70355854119633643"/>
        </c:manualLayout>
      </c:layout>
      <c:lineChart>
        <c:grouping val="stacked"/>
        <c:varyColors val="0"/>
        <c:ser>
          <c:idx val="0"/>
          <c:order val="0"/>
          <c:spPr>
            <a:ln w="76200" cap="sq" cmpd="thinThick">
              <a:solidFill>
                <a:srgbClr val="FF0000"/>
              </a:solidFill>
              <a:prstDash val="solid"/>
              <a:bevel/>
              <a:headEnd type="none" w="lg" len="lg"/>
              <a:tailEnd type="non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diamond"/>
            <c:size val="12"/>
            <c:spPr>
              <a:solidFill>
                <a:schemeClr val="accent1">
                  <a:lumMod val="75000"/>
                </a:schemeClr>
              </a:solidFill>
              <a:ln w="34925"/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'Задолженность (2)'!$B$3:$D$3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'Задолженность (2)'!$B$4:$D$4</c:f>
              <c:numCache>
                <c:formatCode>General</c:formatCode>
                <c:ptCount val="3"/>
                <c:pt idx="0">
                  <c:v>146.18</c:v>
                </c:pt>
                <c:pt idx="1">
                  <c:v>147.41</c:v>
                </c:pt>
                <c:pt idx="2">
                  <c:v>147.94999999999999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6818592"/>
        <c:axId val="608769880"/>
      </c:lineChart>
      <c:catAx>
        <c:axId val="326818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800" b="1"/>
            </a:pPr>
            <a:endParaRPr lang="ru-RU"/>
          </a:p>
        </c:txPr>
        <c:crossAx val="60876988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608769880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326818592"/>
        <c:crosses val="autoZero"/>
        <c:crossBetween val="between"/>
      </c:valAx>
      <c:spPr>
        <a:ln cap="sq">
          <a:solidFill>
            <a:schemeClr val="accent1">
              <a:alpha val="0"/>
            </a:schemeClr>
          </a:solidFill>
          <a:beve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20"/>
      <c:rotY val="10"/>
      <c:depthPercent val="100"/>
      <c:rAngAx val="0"/>
    </c:view3D>
    <c:floor>
      <c:thickness val="0"/>
      <c:spPr>
        <a:noFill/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0.18113297392901481"/>
          <c:y val="0.11533573928258968"/>
          <c:w val="0.80857174103237095"/>
          <c:h val="0.79246901428988048"/>
        </c:manualLayout>
      </c:layout>
      <c:line3DChart>
        <c:grouping val="standard"/>
        <c:varyColors val="0"/>
        <c:ser>
          <c:idx val="0"/>
          <c:order val="0"/>
          <c:tx>
            <c:strRef>
              <c:f>Мун.Заказ!$A$21:$C$21</c:f>
              <c:strCache>
                <c:ptCount val="3"/>
                <c:pt idx="0">
                  <c:v>Экономия бюджетных средств</c:v>
                </c:pt>
              </c:strCache>
            </c:strRef>
          </c:tx>
          <c:dLbls>
            <c:dLbl>
              <c:idx val="0"/>
              <c:layout>
                <c:manualLayout>
                  <c:x val="3.3333333333333333E-2"/>
                  <c:y val="-9.2592592592592587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158415673202834E-2"/>
                  <c:y val="0.1203703703703703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Мун.Заказ!$D$20:$F$20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Мун.Заказ!$D$21:$F$21</c:f>
              <c:numCache>
                <c:formatCode>0.00</c:formatCode>
                <c:ptCount val="3"/>
                <c:pt idx="0">
                  <c:v>2851.2</c:v>
                </c:pt>
                <c:pt idx="1">
                  <c:v>3131.92</c:v>
                </c:pt>
                <c:pt idx="2">
                  <c:v>3199.04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9191728"/>
        <c:axId val="609193296"/>
        <c:axId val="740718224"/>
      </c:line3DChart>
      <c:catAx>
        <c:axId val="60919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09193296"/>
        <c:crosses val="autoZero"/>
        <c:auto val="1"/>
        <c:lblAlgn val="ctr"/>
        <c:lblOffset val="100"/>
        <c:noMultiLvlLbl val="0"/>
      </c:catAx>
      <c:valAx>
        <c:axId val="609193296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609191728"/>
        <c:crosses val="autoZero"/>
        <c:crossBetween val="between"/>
      </c:valAx>
      <c:serAx>
        <c:axId val="740718224"/>
        <c:scaling>
          <c:orientation val="minMax"/>
        </c:scaling>
        <c:delete val="1"/>
        <c:axPos val="b"/>
        <c:majorTickMark val="out"/>
        <c:minorTickMark val="none"/>
        <c:tickLblPos val="nextTo"/>
        <c:crossAx val="609193296"/>
        <c:crosses val="autoZero"/>
      </c:ser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Демографические показатели </a:t>
            </a:r>
          </a:p>
          <a:p>
            <a:pPr>
              <a:defRPr/>
            </a:pPr>
            <a:r>
              <a:rPr lang="ru-RU" sz="1200"/>
              <a:t>(количествово</a:t>
            </a:r>
            <a:r>
              <a:rPr lang="ru-RU" sz="1200" baseline="0"/>
              <a:t> человек)</a:t>
            </a:r>
            <a:endParaRPr lang="ru-RU" sz="1200"/>
          </a:p>
        </c:rich>
      </c:tx>
      <c:layout>
        <c:manualLayout>
          <c:xMode val="edge"/>
          <c:yMode val="edge"/>
          <c:x val="0.45287315889637503"/>
          <c:y val="1.1573162729658793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33374702630256325"/>
          <c:y val="2.7852226018917452E-2"/>
          <c:w val="0.6645527169365838"/>
          <c:h val="0.752000754807609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Демография!$A$12</c:f>
              <c:strCache>
                <c:ptCount val="1"/>
                <c:pt idx="0">
                  <c:v>число родившихся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Демография!$B$11:$D$11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Демография!$B$12:$D$12</c:f>
              <c:numCache>
                <c:formatCode>General</c:formatCode>
                <c:ptCount val="3"/>
                <c:pt idx="0">
                  <c:v>268</c:v>
                </c:pt>
                <c:pt idx="1">
                  <c:v>254</c:v>
                </c:pt>
                <c:pt idx="2">
                  <c:v>244</c:v>
                </c:pt>
              </c:numCache>
            </c:numRef>
          </c:val>
        </c:ser>
        <c:ser>
          <c:idx val="1"/>
          <c:order val="1"/>
          <c:tx>
            <c:strRef>
              <c:f>Демография!$A$13</c:f>
              <c:strCache>
                <c:ptCount val="1"/>
                <c:pt idx="0">
                  <c:v>число умерших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Демография!$B$11:$D$11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Демография!$B$13:$D$13</c:f>
              <c:numCache>
                <c:formatCode>General</c:formatCode>
                <c:ptCount val="3"/>
                <c:pt idx="0">
                  <c:v>68</c:v>
                </c:pt>
                <c:pt idx="1">
                  <c:v>58</c:v>
                </c:pt>
                <c:pt idx="2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8777408"/>
        <c:axId val="538777800"/>
      </c:barChart>
      <c:catAx>
        <c:axId val="538777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538777800"/>
        <c:crosses val="autoZero"/>
        <c:auto val="1"/>
        <c:lblAlgn val="ctr"/>
        <c:lblOffset val="100"/>
        <c:noMultiLvlLbl val="0"/>
      </c:catAx>
      <c:valAx>
        <c:axId val="5387778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5387774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094316818645092"/>
          <c:y val="0.92461586832895881"/>
          <c:w val="0.46200701716409165"/>
          <c:h val="6.3544127296587871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100"/>
      <c:rotY val="20"/>
      <c:depthPercent val="100"/>
      <c:rAngAx val="0"/>
    </c:view3D>
    <c:floor>
      <c:thickness val="0"/>
      <c:spPr>
        <a:gradFill rotWithShape="0">
          <a:gsLst>
            <a:gs pos="0">
              <a:srgbClr val="0F6FC6">
                <a:lumMod val="60000"/>
                <a:lumOff val="40000"/>
              </a:srgbClr>
            </a:gs>
            <a:gs pos="100000">
              <a:srgbClr val="F4D2EE">
                <a:alpha val="34000"/>
              </a:srgbClr>
            </a:gs>
          </a:gsLst>
          <a:lin ang="5400000" scaled="1"/>
        </a:gradFill>
        <a:ln w="3175">
          <a:solidFill>
            <a:srgbClr val="000000"/>
          </a:solidFill>
          <a:prstDash val="solid"/>
        </a:ln>
        <a:effectLst>
          <a:outerShdw blurRad="50800" dist="38100" dir="16200000" rotWithShape="0">
            <a:prstClr val="black">
              <a:alpha val="40000"/>
            </a:prstClr>
          </a:outerShdw>
        </a:effectLst>
      </c:spPr>
    </c:floor>
    <c:sideWall>
      <c:thickness val="0"/>
      <c:spPr>
        <a:gradFill rotWithShape="0">
          <a:gsLst>
            <a:gs pos="93000">
              <a:srgbClr val="0BD0D9">
                <a:lumMod val="20000"/>
                <a:lumOff val="80000"/>
                <a:alpha val="50000"/>
              </a:srgbClr>
            </a:gs>
            <a:gs pos="100000">
              <a:srgbClr val="009DD9">
                <a:lumMod val="40000"/>
                <a:lumOff val="60000"/>
                <a:alpha val="50000"/>
              </a:srgbClr>
            </a:gs>
            <a:gs pos="100000">
              <a:srgbClr val="0F6FC6">
                <a:lumMod val="60000"/>
                <a:lumOff val="40000"/>
                <a:alpha val="50000"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93000">
              <a:srgbClr val="0BD0D9">
                <a:lumMod val="20000"/>
                <a:lumOff val="80000"/>
                <a:alpha val="50000"/>
              </a:srgbClr>
            </a:gs>
            <a:gs pos="100000">
              <a:srgbClr val="009DD9">
                <a:lumMod val="40000"/>
                <a:lumOff val="60000"/>
                <a:alpha val="50000"/>
              </a:srgbClr>
            </a:gs>
            <a:gs pos="100000">
              <a:srgbClr val="0F6FC6">
                <a:lumMod val="60000"/>
                <a:lumOff val="40000"/>
                <a:alpha val="50000"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1147506561679791"/>
          <c:y val="0.17213930348258707"/>
          <c:w val="0.67504975707823756"/>
          <c:h val="0.6597304814510126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Демография!$A$3</c:f>
              <c:strCache>
                <c:ptCount val="1"/>
                <c:pt idx="0">
                  <c:v>Число прибывших</c:v>
                </c:pt>
              </c:strCache>
            </c:strRef>
          </c:tx>
          <c:spPr>
            <a:solidFill>
              <a:srgbClr val="CC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Демография!$B$2:$D$2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Демография!$B$3:$D$3</c:f>
              <c:numCache>
                <c:formatCode>General</c:formatCode>
                <c:ptCount val="3"/>
                <c:pt idx="0">
                  <c:v>1501</c:v>
                </c:pt>
                <c:pt idx="1">
                  <c:v>1473</c:v>
                </c:pt>
                <c:pt idx="2">
                  <c:v>498</c:v>
                </c:pt>
              </c:numCache>
            </c:numRef>
          </c:val>
        </c:ser>
        <c:ser>
          <c:idx val="1"/>
          <c:order val="1"/>
          <c:tx>
            <c:strRef>
              <c:f>Демография!$A$4</c:f>
              <c:strCache>
                <c:ptCount val="1"/>
                <c:pt idx="0">
                  <c:v>Число выбывших</c:v>
                </c:pt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6.53061224489794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Демография!$B$2:$D$2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Демография!$B$4:$D$4</c:f>
              <c:numCache>
                <c:formatCode>General</c:formatCode>
                <c:ptCount val="3"/>
                <c:pt idx="0">
                  <c:v>1448</c:v>
                </c:pt>
                <c:pt idx="1">
                  <c:v>1039</c:v>
                </c:pt>
                <c:pt idx="2">
                  <c:v>814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538781720"/>
        <c:axId val="538771920"/>
        <c:axId val="607657768"/>
      </c:bar3DChart>
      <c:catAx>
        <c:axId val="538781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877192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5387719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2700">
            <a:noFill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8781720"/>
        <c:crosses val="autoZero"/>
        <c:crossBetween val="between"/>
      </c:valAx>
      <c:serAx>
        <c:axId val="607657768"/>
        <c:scaling>
          <c:orientation val="minMax"/>
        </c:scaling>
        <c:delete val="1"/>
        <c:axPos val="b"/>
        <c:majorTickMark val="out"/>
        <c:minorTickMark val="none"/>
        <c:tickLblPos val="nextTo"/>
        <c:crossAx val="538771920"/>
        <c:crosses val="autoZero"/>
      </c:ser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950" b="1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50" b="1" baseline="0"/>
            </a:pPr>
            <a:endParaRPr lang="ru-RU"/>
          </a:p>
        </c:txPr>
      </c:legendEntry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Объекты малого и среднего бизнеса</a:t>
            </a:r>
          </a:p>
        </c:rich>
      </c:tx>
      <c:layout>
        <c:manualLayout>
          <c:xMode val="edge"/>
          <c:yMode val="edge"/>
          <c:x val="0.28432471664514603"/>
          <c:y val="2.7017298513361501E-2"/>
        </c:manualLayout>
      </c:layout>
      <c:overlay val="0"/>
    </c:title>
    <c:autoTitleDeleted val="0"/>
    <c:view3D>
      <c:rotX val="15"/>
      <c:rotY val="39"/>
      <c:depthPercent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343597963187799"/>
          <c:y val="0.27300803615764202"/>
          <c:w val="0.66649849642639603"/>
          <c:h val="0.53876914034394396"/>
        </c:manualLayout>
      </c:layout>
      <c:pie3DChart>
        <c:varyColors val="1"/>
        <c:ser>
          <c:idx val="0"/>
          <c:order val="0"/>
          <c:explosion val="24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2"/>
            <c:bubble3D val="0"/>
            <c:spPr>
              <a:solidFill>
                <a:srgbClr val="FF66FF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Pt>
            <c:idx val="4"/>
            <c:bubble3D val="0"/>
            <c:spPr>
              <a:solidFill>
                <a:srgbClr val="0BD52D"/>
              </a:solidFill>
            </c:spPr>
          </c:dPt>
          <c:dLbls>
            <c:dLbl>
              <c:idx val="0"/>
              <c:layout>
                <c:manualLayout>
                  <c:x val="-3.0036195141843601E-2"/>
                  <c:y val="0.1426856778037879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ru-RU"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723004203524599"/>
                  <c:y val="0.1279640044994380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ru-RU"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2613503940888705E-2"/>
                  <c:y val="0.1465985670710079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ru-RU"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2370053421778893E-2"/>
                  <c:y val="-4.00182409631228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ru-RU"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511620119124606E-2"/>
                  <c:y val="8.1804233930218198E-2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ru-RU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прочие объекты малого и среднего бизнеса
16%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'Объекты М. и Ср. бизнеса'!$A$2:$A$6</c:f>
              <c:strCache>
                <c:ptCount val="5"/>
                <c:pt idx="0">
                  <c:v>предприятия торговли составили</c:v>
                </c:pt>
                <c:pt idx="1">
                  <c:v>объекты бытового обслуживания</c:v>
                </c:pt>
                <c:pt idx="2">
                  <c:v>предприятия общественного питания</c:v>
                </c:pt>
                <c:pt idx="3">
                  <c:v>прочие объекты потребительского рынка</c:v>
                </c:pt>
                <c:pt idx="4">
                  <c:v>прочие объекты малого и среднего бизнеса</c:v>
                </c:pt>
              </c:strCache>
            </c:strRef>
          </c:cat>
          <c:val>
            <c:numRef>
              <c:f>'Объекты М. и Ср. бизнеса'!$B$2:$B$6</c:f>
              <c:numCache>
                <c:formatCode>0.0%</c:formatCode>
                <c:ptCount val="5"/>
                <c:pt idx="0">
                  <c:v>0.356862745098039</c:v>
                </c:pt>
                <c:pt idx="1">
                  <c:v>0.29019607843137302</c:v>
                </c:pt>
                <c:pt idx="2">
                  <c:v>0.105882352941176</c:v>
                </c:pt>
                <c:pt idx="3">
                  <c:v>8.2352941176470601E-2</c:v>
                </c:pt>
                <c:pt idx="4">
                  <c:v>0.16470588235294101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  <c:extLst>
      <c:ext uri="{0b15fc19-7d7d-44ad-8c2d-2c3a37ce22c3}">
        <chartProps xmlns="https://web.wps.cn/et/2018/main" chartId="{4968a666-3381-41cb-8364-c0e2c5ed7d70}"/>
      </c:ext>
    </c:extLst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Платные услуги</a:t>
            </a:r>
          </a:p>
        </c:rich>
      </c:tx>
      <c:layout>
        <c:manualLayout>
          <c:xMode val="edge"/>
          <c:yMode val="edge"/>
          <c:x val="0.36575745628362977"/>
          <c:y val="3.5460400455836929E-3"/>
        </c:manualLayout>
      </c:layout>
      <c:overlay val="0"/>
    </c:title>
    <c:autoTitleDeleted val="0"/>
    <c:view3D>
      <c:rotX val="40"/>
      <c:rotY val="175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807096320141873E-2"/>
          <c:y val="9.0182095976473198E-3"/>
          <c:w val="0.98219290367985812"/>
          <c:h val="0.96821571294516351"/>
        </c:manualLayout>
      </c:layout>
      <c:pie3DChart>
        <c:varyColors val="1"/>
        <c:ser>
          <c:idx val="0"/>
          <c:order val="0"/>
          <c:explosion val="18"/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rgbClr val="0000FF"/>
              </a:solidFill>
            </c:spPr>
          </c:dPt>
          <c:dPt>
            <c:idx val="2"/>
            <c:bubble3D val="0"/>
            <c:spPr>
              <a:solidFill>
                <a:srgbClr val="C553B7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Pt>
            <c:idx val="4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5"/>
            <c:bubble3D val="0"/>
            <c:spPr>
              <a:solidFill>
                <a:srgbClr val="E8690A"/>
              </a:solidFill>
            </c:spPr>
          </c:dPt>
          <c:dPt>
            <c:idx val="6"/>
            <c:bubble3D val="0"/>
            <c:spPr>
              <a:solidFill>
                <a:srgbClr val="14F429"/>
              </a:solidFill>
            </c:spPr>
          </c:dPt>
          <c:dPt>
            <c:idx val="7"/>
            <c:bubble3D val="0"/>
            <c:explosion val="22"/>
            <c:spPr>
              <a:solidFill>
                <a:srgbClr val="7030A0"/>
              </a:solidFill>
            </c:spPr>
          </c:dPt>
          <c:dLbls>
            <c:dLbl>
              <c:idx val="0"/>
              <c:numFmt formatCode="0.00%" sourceLinked="0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numFmt formatCode="0.00%" sourceLinked="0"/>
              <c:spPr/>
              <c:txPr>
                <a:bodyPr/>
                <a:lstStyle/>
                <a:p>
                  <a:pPr>
                    <a:defRPr b="1">
                      <a:solidFill>
                        <a:schemeClr val="bg2"/>
                      </a:solidFill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>
                        <a:solidFill>
                          <a:schemeClr val="bg2"/>
                        </a:solidFill>
                      </a:rPr>
                      <a:t>бытовые услуги
14,27%</a:t>
                    </a:r>
                  </a:p>
                </c:rich>
              </c:tx>
              <c:numFmt formatCode="0.00%" sourceLinked="0"/>
              <c:spPr/>
              <c:dLblPos val="bestFit"/>
              <c:showLegendKey val="1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88445422544566"/>
                  <c:y val="-0.17949916720944831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 b="1">
                      <a:solidFill>
                        <a:schemeClr val="bg2"/>
                      </a:solidFill>
                    </a:defRPr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2309919558334478"/>
                  <c:y val="-3.8052243372646094E-2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996344634138569E-2"/>
                  <c:y val="0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5747034857077816"/>
                  <c:y val="-2.2816314046086666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услуги культуры</a:t>
                    </a:r>
                  </a:p>
                  <a:p>
                    <a:pPr>
                      <a:defRPr/>
                    </a:pPr>
                    <a:r>
                      <a:rPr lang="ru-RU"/>
                      <a:t>и спорта
0,88%</a:t>
                    </a:r>
                  </a:p>
                </c:rich>
              </c:tx>
              <c:numFmt formatCode="0.00%" sourceLinked="0"/>
              <c:spPr/>
              <c:dLblPos val="bestFit"/>
              <c:showLegendKey val="1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26176611856042709"/>
                  <c:y val="-7.2140801500399448E-2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 w="25400">
                <a:noFill/>
              </a:ln>
            </c:spPr>
            <c:dLblPos val="bestFit"/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'Платные услуги'!$B$3:$B$10</c:f>
              <c:strCache>
                <c:ptCount val="8"/>
                <c:pt idx="0">
                  <c:v>жилищно-коммунальные услуги</c:v>
                </c:pt>
                <c:pt idx="1">
                  <c:v>услуги связи</c:v>
                </c:pt>
                <c:pt idx="2">
                  <c:v>бытовые услуги</c:v>
                </c:pt>
                <c:pt idx="3">
                  <c:v>образовательные услуги</c:v>
                </c:pt>
                <c:pt idx="4">
                  <c:v> медицинские услуги</c:v>
                </c:pt>
                <c:pt idx="5">
                  <c:v>почтовые услуги</c:v>
                </c:pt>
                <c:pt idx="6">
                  <c:v>услуги культуры и спорта</c:v>
                </c:pt>
                <c:pt idx="7">
                  <c:v>прочие</c:v>
                </c:pt>
              </c:strCache>
            </c:strRef>
          </c:cat>
          <c:val>
            <c:numRef>
              <c:f>'Платные услуги'!$C$3:$C$10</c:f>
              <c:numCache>
                <c:formatCode>0.00</c:formatCode>
                <c:ptCount val="8"/>
                <c:pt idx="0">
                  <c:v>286144.446</c:v>
                </c:pt>
                <c:pt idx="1">
                  <c:v>59269.307999999997</c:v>
                </c:pt>
                <c:pt idx="2">
                  <c:v>63155.82</c:v>
                </c:pt>
                <c:pt idx="3">
                  <c:v>63155.82</c:v>
                </c:pt>
                <c:pt idx="4">
                  <c:v>5829.768</c:v>
                </c:pt>
                <c:pt idx="5">
                  <c:v>1457.442</c:v>
                </c:pt>
                <c:pt idx="6">
                  <c:v>6315.5820000000003</c:v>
                </c:pt>
                <c:pt idx="7">
                  <c:v>971.62800000000004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7"/>
      <c:hPercent val="100"/>
      <c:rotY val="19"/>
      <c:depthPercent val="100"/>
      <c:rAngAx val="0"/>
    </c:view3D>
    <c:floor>
      <c:thickness val="0"/>
      <c:spPr>
        <a:gradFill>
          <a:gsLst>
            <a:gs pos="98000">
              <a:srgbClr val="0F6FC6">
                <a:lumMod val="20000"/>
                <a:lumOff val="80000"/>
              </a:srgbClr>
            </a:gs>
            <a:gs pos="4000">
              <a:srgbClr val="DBF5F9">
                <a:lumMod val="90000"/>
              </a:srgbClr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  <a:ln w="12700">
          <a:noFill/>
        </a:ln>
      </c:spPr>
    </c:floor>
    <c:sideWall>
      <c:thickness val="0"/>
      <c:spPr>
        <a:gradFill>
          <a:gsLst>
            <a:gs pos="98000">
              <a:srgbClr val="0F6FC6">
                <a:lumMod val="20000"/>
                <a:lumOff val="80000"/>
              </a:srgbClr>
            </a:gs>
            <a:gs pos="4000">
              <a:srgbClr val="DBF5F9">
                <a:lumMod val="90000"/>
              </a:srgbClr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  <a:ln w="3175">
          <a:solidFill>
            <a:srgbClr val="000000"/>
          </a:solidFill>
          <a:prstDash val="solid"/>
        </a:ln>
      </c:spPr>
    </c:sideWall>
    <c:backWall>
      <c:thickness val="0"/>
      <c:spPr>
        <a:gradFill>
          <a:gsLst>
            <a:gs pos="98000">
              <a:srgbClr val="0F6FC6">
                <a:lumMod val="20000"/>
                <a:lumOff val="80000"/>
              </a:srgbClr>
            </a:gs>
            <a:gs pos="4000">
              <a:srgbClr val="DBF5F9">
                <a:lumMod val="90000"/>
              </a:srgbClr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202789373121246E-2"/>
          <c:y val="3.4312825125316249E-2"/>
          <c:w val="0.82288567870283602"/>
          <c:h val="0.7227050426311940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Безработные!$B$1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Безработные!$A$2:$A$4</c:f>
              <c:strCache>
                <c:ptCount val="3"/>
                <c:pt idx="0">
                  <c:v>Женщины</c:v>
                </c:pt>
                <c:pt idx="1">
                  <c:v>Молодежь до 30 лет</c:v>
                </c:pt>
                <c:pt idx="2">
                  <c:v>Инвалиды</c:v>
                </c:pt>
              </c:strCache>
            </c:strRef>
          </c:cat>
          <c:val>
            <c:numRef>
              <c:f>Безработные!$B$2:$B$4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Безработные!$C$1</c:f>
              <c:strCache>
                <c:ptCount val="1"/>
                <c:pt idx="0">
                  <c:v>2023 год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Безработные!$A$2:$A$4</c:f>
              <c:strCache>
                <c:ptCount val="3"/>
                <c:pt idx="0">
                  <c:v>Женщины</c:v>
                </c:pt>
                <c:pt idx="1">
                  <c:v>Молодежь до 30 лет</c:v>
                </c:pt>
                <c:pt idx="2">
                  <c:v>Инвалиды</c:v>
                </c:pt>
              </c:strCache>
            </c:strRef>
          </c:cat>
          <c:val>
            <c:numRef>
              <c:f>Безработные!$C$2:$C$4</c:f>
              <c:numCache>
                <c:formatCode>General</c:formatCode>
                <c:ptCount val="3"/>
                <c:pt idx="0">
                  <c:v>6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Безработные!$D$1</c:f>
              <c:strCache>
                <c:ptCount val="1"/>
                <c:pt idx="0">
                  <c:v>2024 год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Безработные!$A$2:$A$4</c:f>
              <c:strCache>
                <c:ptCount val="3"/>
                <c:pt idx="0">
                  <c:v>Женщины</c:v>
                </c:pt>
                <c:pt idx="1">
                  <c:v>Молодежь до 30 лет</c:v>
                </c:pt>
                <c:pt idx="2">
                  <c:v>Инвалиды</c:v>
                </c:pt>
              </c:strCache>
            </c:strRef>
          </c:cat>
          <c:val>
            <c:numRef>
              <c:f>Безработные!$D$2:$D$4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38787208"/>
        <c:axId val="538784072"/>
        <c:axId val="740728824"/>
      </c:bar3DChart>
      <c:catAx>
        <c:axId val="538787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4500000" vert="horz"/>
          <a:lstStyle/>
          <a:p>
            <a:pPr>
              <a:defRPr sz="800" b="0" i="1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38784072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538784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8787208"/>
        <c:crosses val="autoZero"/>
        <c:crossBetween val="between"/>
      </c:valAx>
      <c:serAx>
        <c:axId val="740728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8784072"/>
        <c:crosses val="autoZero"/>
        <c:tickLblSkip val="1"/>
        <c:tickMarkSkip val="1"/>
      </c:ser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aseline="0"/>
            </a:pPr>
            <a:r>
              <a:rPr lang="ru-RU" sz="1200" baseline="0"/>
              <a:t>Доходы населения г.п.Федоровский</a:t>
            </a:r>
          </a:p>
        </c:rich>
      </c:tx>
      <c:layout>
        <c:manualLayout>
          <c:xMode val="edge"/>
          <c:yMode val="edge"/>
          <c:x val="0.17295915538647558"/>
          <c:y val="0"/>
        </c:manualLayout>
      </c:layout>
      <c:overlay val="0"/>
    </c:title>
    <c:autoTitleDeleted val="0"/>
    <c:view3D>
      <c:rotX val="30"/>
      <c:rotY val="2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4043597843682712"/>
          <c:w val="1"/>
          <c:h val="0.79342174333471471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soft" dir="t">
                <a:rot lat="0" lon="0" rev="18000000"/>
              </a:lightRig>
            </a:scene3d>
            <a:sp3d prstMaterial="flat">
              <a:bevelT w="73660" h="44450" prst="angle"/>
              <a:bevelB/>
            </a:sp3d>
          </c:spPr>
          <c:explosion val="9"/>
          <c:dPt>
            <c:idx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soft" dir="t">
                  <a:rot lat="0" lon="0" rev="18000000"/>
                </a:lightRig>
              </a:scene3d>
              <a:sp3d prstMaterial="flat">
                <a:bevelT w="73660" h="44450" prst="angle"/>
                <a:bevelB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scene3d>
                <a:camera prst="orthographicFront"/>
                <a:lightRig rig="soft" dir="t">
                  <a:rot lat="0" lon="0" rev="18000000"/>
                </a:lightRig>
              </a:scene3d>
              <a:sp3d prstMaterial="flat">
                <a:bevelT w="73660" h="44450" prst="angle"/>
                <a:bevelB/>
              </a:sp3d>
            </c:spPr>
          </c:dPt>
          <c:dPt>
            <c:idx val="2"/>
            <c:bubble3D val="0"/>
            <c:spPr>
              <a:solidFill>
                <a:srgbClr val="FF0000"/>
              </a:solidFill>
              <a:scene3d>
                <a:camera prst="orthographicFront"/>
                <a:lightRig rig="soft" dir="t">
                  <a:rot lat="0" lon="0" rev="18000000"/>
                </a:lightRig>
              </a:scene3d>
              <a:sp3d prstMaterial="flat">
                <a:bevelT w="73660" h="44450" prst="angle"/>
                <a:bevelB/>
              </a:sp3d>
            </c:spPr>
          </c:dPt>
          <c:dLbls>
            <c:dLbl>
              <c:idx val="0"/>
              <c:layout>
                <c:manualLayout>
                  <c:x val="0.52284644194756547"/>
                  <c:y val="-0.74251512722586321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1"/>
              <c:layout>
                <c:manualLayout>
                  <c:x val="-0.152808988764045"/>
                  <c:y val="-3.1936127744510975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7902621722846441E-2"/>
                  <c:y val="-1.197604790419161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>
                  <a:solidFill>
                    <a:schemeClr val="tx1"/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доходы!$A$3:$A$5</c:f>
              <c:strCache>
                <c:ptCount val="3"/>
                <c:pt idx="0">
                  <c:v>оплата труда</c:v>
                </c:pt>
                <c:pt idx="1">
                  <c:v>социальные трансферты</c:v>
                </c:pt>
                <c:pt idx="2">
                  <c:v>прочие</c:v>
                </c:pt>
              </c:strCache>
            </c:strRef>
          </c:cat>
          <c:val>
            <c:numRef>
              <c:f>доходы!$B$3:$B$5</c:f>
              <c:numCache>
                <c:formatCode>0.00%</c:formatCode>
                <c:ptCount val="3"/>
                <c:pt idx="0">
                  <c:v>0.93200000000000005</c:v>
                </c:pt>
                <c:pt idx="1">
                  <c:v>5.2900000000000003E-2</c:v>
                </c:pt>
                <c:pt idx="2">
                  <c:v>1.5100000000000001E-2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</c:legend>
    <c:plotVisOnly val="1"/>
    <c:dispBlanksAs val="zero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aseline="0"/>
            </a:pPr>
            <a:r>
              <a:rPr lang="ru-RU" sz="1100" u="sng" baseline="0"/>
              <a:t>Расходы населения г.п.Федоровский</a:t>
            </a:r>
          </a:p>
        </c:rich>
      </c:tx>
      <c:layout>
        <c:manualLayout>
          <c:xMode val="edge"/>
          <c:yMode val="edge"/>
          <c:x val="0.21158259327173146"/>
          <c:y val="1.6279233752497353E-2"/>
        </c:manualLayout>
      </c:layout>
      <c:overlay val="0"/>
    </c:title>
    <c:autoTitleDeleted val="0"/>
    <c:view3D>
      <c:rotX val="30"/>
      <c:rotY val="1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4157127747091314"/>
          <c:w val="1"/>
          <c:h val="0.85699645284925163"/>
        </c:manualLayout>
      </c:layout>
      <c:pie3DChart>
        <c:varyColors val="1"/>
        <c:ser>
          <c:idx val="0"/>
          <c:order val="0"/>
          <c:explosion val="13"/>
          <c:dPt>
            <c:idx val="0"/>
            <c:bubble3D val="0"/>
            <c:spPr>
              <a:solidFill>
                <a:srgbClr val="FFFF00"/>
              </a:solidFill>
              <a:effectLst>
                <a:outerShdw blurRad="50800" dist="38100" dir="13500000" algn="br" rotWithShape="0">
                  <a:srgbClr val="FFC000">
                    <a:alpha val="40000"/>
                  </a:srgbClr>
                </a:outerShdw>
              </a:effectLst>
              <a:scene3d>
                <a:camera prst="orthographicFront"/>
                <a:lightRig rig="soft" dir="t">
                  <a:rot lat="0" lon="0" rev="18000000"/>
                </a:lightRig>
              </a:scene3d>
              <a:sp3d prstMaterial="flat">
                <a:bevelT w="73660" h="44450" prst="riblet"/>
              </a:sp3d>
            </c:spPr>
          </c:dPt>
          <c:dPt>
            <c:idx val="1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scene3d>
                <a:camera prst="orthographicFront"/>
                <a:lightRig rig="soft" dir="t">
                  <a:rot lat="0" lon="0" rev="18000000"/>
                </a:lightRig>
              </a:scene3d>
              <a:sp3d prstMaterial="flat">
                <a:bevelT w="73660" h="44450" prst="riblet"/>
              </a:sp3d>
            </c:spPr>
          </c:dPt>
          <c:dPt>
            <c:idx val="2"/>
            <c:bubble3D val="0"/>
            <c:spPr>
              <a:solidFill>
                <a:srgbClr val="EA16E0"/>
              </a:solidFill>
              <a:scene3d>
                <a:camera prst="orthographicFront"/>
                <a:lightRig rig="soft" dir="t">
                  <a:rot lat="0" lon="0" rev="18000000"/>
                </a:lightRig>
              </a:scene3d>
              <a:sp3d prstMaterial="softEdge">
                <a:bevelT w="73660" h="44450" prst="riblet"/>
              </a:sp3d>
            </c:spPr>
          </c:dPt>
          <c:dLbls>
            <c:dLbl>
              <c:idx val="0"/>
              <c:layout>
                <c:manualLayout>
                  <c:x val="0.19948700260381777"/>
                  <c:y val="-0.1479735762030698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покупка товаров и услуг</a:t>
                    </a:r>
                  </a:p>
                  <a:p>
                    <a:pPr>
                      <a:defRPr/>
                    </a:pPr>
                    <a:r>
                      <a:rPr lang="ru-RU"/>
                      <a:t>84%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828889409295554"/>
                  <c:y val="-6.401929878924228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обязательные</a:t>
                    </a:r>
                    <a:r>
                      <a:rPr lang="ru-RU" baseline="0"/>
                      <a:t> платежи </a:t>
                    </a:r>
                    <a:r>
                      <a:rPr lang="ru-RU"/>
                      <a:t>6%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240110957069360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прочие</a:t>
                    </a:r>
                  </a:p>
                  <a:p>
                    <a:pPr>
                      <a:defRPr/>
                    </a:pPr>
                    <a:r>
                      <a:rPr lang="ru-RU"/>
                      <a:t>10%</a:t>
                    </a:r>
                  </a:p>
                </c:rich>
              </c:tx>
              <c:spPr>
                <a:scene3d>
                  <a:camera prst="orthographicFront"/>
                  <a:lightRig rig="threePt" dir="t"/>
                </a:scene3d>
                <a:sp3d prstMaterial="flat"/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доходы!$A$8:$A$10</c:f>
              <c:strCache>
                <c:ptCount val="3"/>
                <c:pt idx="0">
                  <c:v>покупка товаров и услуг</c:v>
                </c:pt>
                <c:pt idx="1">
                  <c:v>обязательные платежи</c:v>
                </c:pt>
                <c:pt idx="2">
                  <c:v>прочие</c:v>
                </c:pt>
              </c:strCache>
            </c:strRef>
          </c:cat>
          <c:val>
            <c:numRef>
              <c:f>доходы!$B$8:$B$10</c:f>
              <c:numCache>
                <c:formatCode>0.0%</c:formatCode>
                <c:ptCount val="3"/>
                <c:pt idx="0">
                  <c:v>0.84</c:v>
                </c:pt>
                <c:pt idx="1">
                  <c:v>6.2E-2</c:v>
                </c:pt>
                <c:pt idx="2">
                  <c:v>9.8400000000000001E-2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Баланс финансовых ресурсов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60954079228603"/>
          <c:y val="0.12685185185185185"/>
          <c:w val="0.87939045920771397"/>
          <c:h val="0.617500364537766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'Фин. ресурсы'!$A$4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'Фин. ресурсы'!$B$2:$D$2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'Фин. ресурсы'!$B$4:$D$4</c:f>
              <c:numCache>
                <c:formatCode>0.0</c:formatCode>
                <c:ptCount val="3"/>
                <c:pt idx="0">
                  <c:v>141368.29999999999</c:v>
                </c:pt>
                <c:pt idx="1">
                  <c:v>142126.29999999999</c:v>
                </c:pt>
                <c:pt idx="2">
                  <c:v>167876.4</c:v>
                </c:pt>
              </c:numCache>
            </c:numRef>
          </c:val>
        </c:ser>
        <c:ser>
          <c:idx val="1"/>
          <c:order val="1"/>
          <c:tx>
            <c:strRef>
              <c:f>'Фин. ресурсы'!$A$3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'Фин. ресурсы'!$B$2:$D$2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'Фин. ресурсы'!$B$3:$D$3</c:f>
              <c:numCache>
                <c:formatCode>0.0</c:formatCode>
                <c:ptCount val="3"/>
                <c:pt idx="0">
                  <c:v>27952.5</c:v>
                </c:pt>
                <c:pt idx="1">
                  <c:v>20502.400000000001</c:v>
                </c:pt>
                <c:pt idx="2">
                  <c:v>18684.7</c:v>
                </c:pt>
              </c:numCache>
            </c:numRef>
          </c:val>
        </c:ser>
        <c:ser>
          <c:idx val="2"/>
          <c:order val="2"/>
          <c:tx>
            <c:strRef>
              <c:f>'Фин. ресурсы'!$A$5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'Фин. ресурсы'!$B$2:$D$2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'Фин. ресурсы'!$B$5:$D$5</c:f>
              <c:numCache>
                <c:formatCode>0.0</c:formatCode>
                <c:ptCount val="3"/>
                <c:pt idx="0">
                  <c:v>137754.1</c:v>
                </c:pt>
                <c:pt idx="1">
                  <c:v>211374.6</c:v>
                </c:pt>
                <c:pt idx="2">
                  <c:v>886166.2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538785248"/>
        <c:axId val="538785640"/>
        <c:axId val="0"/>
      </c:bar3DChart>
      <c:catAx>
        <c:axId val="53878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38785640"/>
        <c:crosses val="autoZero"/>
        <c:auto val="1"/>
        <c:lblAlgn val="ctr"/>
        <c:lblOffset val="100"/>
        <c:noMultiLvlLbl val="0"/>
      </c:catAx>
      <c:valAx>
        <c:axId val="53878564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spPr>
          <a:ln w="12700">
            <a:noFill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5387852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89210301837270345"/>
          <c:w val="0.99315865689202643"/>
          <c:h val="8.0119203849518761E-2"/>
        </c:manualLayout>
      </c:layout>
      <c:overlay val="0"/>
      <c:txPr>
        <a:bodyPr/>
        <a:lstStyle/>
        <a:p>
          <a:pPr>
            <a:defRPr sz="950" i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0.76629</cdr:x>
      <cdr:y>0.21257</cdr:y>
    </cdr:from>
    <cdr:to>
      <cdr:x>0.87191</cdr:x>
      <cdr:y>0.28443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>
          <a:off x="3248028" y="676275"/>
          <a:ext cx="447673" cy="22860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_rels/themeOverr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_rels/themeOverr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_rels/themeOverr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_rels/themeOverr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Поток">
    <a:dk1>
      <a:sysClr val="windowText" lastClr="000000"/>
    </a:dk1>
    <a:lt1>
      <a:sysClr val="window" lastClr="FFFFFF"/>
    </a:lt1>
    <a:dk2>
      <a:srgbClr val="04617B"/>
    </a:dk2>
    <a:lt2>
      <a:srgbClr val="DBF5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E2D700"/>
    </a:hlink>
    <a:folHlink>
      <a:srgbClr val="85DFD0"/>
    </a:folHlink>
  </a:clrScheme>
  <a:fontScheme name="Апекс">
    <a:majorFont>
      <a:latin typeface="Lucida Sans"/>
      <a:ea typeface=""/>
      <a:cs typeface=""/>
      <a:font script="Grek" typeface="Arial"/>
      <a:font script="Cyrl" typeface="Arial"/>
      <a:font script="Jpan" typeface="HG丸ｺﾞｼｯｸM-PRO"/>
      <a:font script="Hang" typeface="휴먼옛체"/>
      <a:font script="Hans" typeface="黑体"/>
      <a:font script="Hant" typeface="微軟正黑體"/>
      <a:font script="Arab" typeface="Tahoma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明朝B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80000"/>
              <a:satMod val="400000"/>
            </a:schemeClr>
          </a:gs>
          <a:gs pos="25000">
            <a:schemeClr val="phClr">
              <a:tint val="83000"/>
              <a:satMod val="320000"/>
            </a:schemeClr>
          </a:gs>
          <a:gs pos="100000">
            <a:schemeClr val="phClr">
              <a:shade val="15000"/>
              <a:satMod val="320000"/>
            </a:schemeClr>
          </a:gs>
        </a:gsLst>
        <a:path path="circle">
          <a:fillToRect l="10000" t="110000" r="10000" b="100000"/>
        </a:path>
      </a:gradFill>
      <a:blipFill>
        <a:blip xmlns:r="http://schemas.openxmlformats.org/officeDocument/2006/relationships" r:embed="rId2">
          <a:duotone>
            <a:schemeClr val="phClr">
              <a:shade val="90000"/>
              <a:satMod val="150000"/>
            </a:schemeClr>
            <a:schemeClr val="phClr">
              <a:tint val="88000"/>
              <a:satMod val="150000"/>
            </a:schemeClr>
          </a:duotone>
        </a:blip>
        <a:tile tx="0" ty="0" sx="65000" sy="65000" flip="none" algn="tl"/>
      </a:blipFill>
    </a:bgFillStyleLst>
  </a:fmtScheme>
</a:themeOverride>
</file>

<file path=word/theme/themeOverride10.xml><?xml version="1.0" encoding="utf-8"?>
<a:themeOverride xmlns:a="http://schemas.openxmlformats.org/drawingml/2006/main">
  <a:clrScheme name="Поток">
    <a:dk1>
      <a:sysClr val="windowText" lastClr="000000"/>
    </a:dk1>
    <a:lt1>
      <a:sysClr val="window" lastClr="FFFFFF"/>
    </a:lt1>
    <a:dk2>
      <a:srgbClr val="04617B"/>
    </a:dk2>
    <a:lt2>
      <a:srgbClr val="DBF5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E2D700"/>
    </a:hlink>
    <a:folHlink>
      <a:srgbClr val="85DFD0"/>
    </a:folHlink>
  </a:clrScheme>
  <a:fontScheme name="Апекс">
    <a:majorFont>
      <a:latin typeface="Lucida Sans"/>
      <a:ea typeface=""/>
      <a:cs typeface=""/>
      <a:font script="Grek" typeface="Arial"/>
      <a:font script="Cyrl" typeface="Arial"/>
      <a:font script="Jpan" typeface="HG丸ｺﾞｼｯｸM-PRO"/>
      <a:font script="Hang" typeface="휴먼옛체"/>
      <a:font script="Hans" typeface="黑体"/>
      <a:font script="Hant" typeface="微軟正黑體"/>
      <a:font script="Arab" typeface="Tahoma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明朝B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80000"/>
              <a:satMod val="400000"/>
            </a:schemeClr>
          </a:gs>
          <a:gs pos="25000">
            <a:schemeClr val="phClr">
              <a:tint val="83000"/>
              <a:satMod val="320000"/>
            </a:schemeClr>
          </a:gs>
          <a:gs pos="100000">
            <a:schemeClr val="phClr">
              <a:shade val="15000"/>
              <a:satMod val="320000"/>
            </a:schemeClr>
          </a:gs>
        </a:gsLst>
        <a:path path="circle">
          <a:fillToRect l="10000" t="110000" r="10000" b="100000"/>
        </a:path>
      </a:gradFill>
      <a:blipFill>
        <a:blip xmlns:r="http://schemas.openxmlformats.org/officeDocument/2006/relationships" r:embed="rId2">
          <a:duotone>
            <a:schemeClr val="phClr">
              <a:shade val="90000"/>
              <a:satMod val="150000"/>
            </a:schemeClr>
            <a:schemeClr val="phClr">
              <a:tint val="88000"/>
              <a:satMod val="150000"/>
            </a:schemeClr>
          </a:duotone>
        </a:blip>
        <a:tile tx="0" ty="0" sx="65000" sy="65000" flip="none" algn="tl"/>
      </a:blip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Поток">
    <a:dk1>
      <a:sysClr val="windowText" lastClr="000000"/>
    </a:dk1>
    <a:lt1>
      <a:sysClr val="window" lastClr="FFFFFF"/>
    </a:lt1>
    <a:dk2>
      <a:srgbClr val="04617B"/>
    </a:dk2>
    <a:lt2>
      <a:srgbClr val="DBF5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E2D700"/>
    </a:hlink>
    <a:folHlink>
      <a:srgbClr val="85DFD0"/>
    </a:folHlink>
  </a:clrScheme>
  <a:fontScheme name="Апекс">
    <a:majorFont>
      <a:latin typeface="Lucida Sans"/>
      <a:ea typeface=""/>
      <a:cs typeface=""/>
      <a:font script="Grek" typeface="Arial"/>
      <a:font script="Cyrl" typeface="Arial"/>
      <a:font script="Jpan" typeface="HG丸ｺﾞｼｯｸM-PRO"/>
      <a:font script="Hang" typeface="휴먼옛체"/>
      <a:font script="Hans" typeface="黑体"/>
      <a:font script="Hant" typeface="微軟正黑體"/>
      <a:font script="Arab" typeface="Tahoma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明朝B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80000"/>
              <a:satMod val="400000"/>
            </a:schemeClr>
          </a:gs>
          <a:gs pos="25000">
            <a:schemeClr val="phClr">
              <a:tint val="83000"/>
              <a:satMod val="320000"/>
            </a:schemeClr>
          </a:gs>
          <a:gs pos="100000">
            <a:schemeClr val="phClr">
              <a:shade val="15000"/>
              <a:satMod val="320000"/>
            </a:schemeClr>
          </a:gs>
        </a:gsLst>
        <a:path path="circle">
          <a:fillToRect l="10000" t="110000" r="10000" b="100000"/>
        </a:path>
      </a:gradFill>
      <a:blipFill>
        <a:blip xmlns:r="http://schemas.openxmlformats.org/officeDocument/2006/relationships" r:embed="rId2">
          <a:duotone>
            <a:schemeClr val="phClr">
              <a:shade val="90000"/>
              <a:satMod val="150000"/>
            </a:schemeClr>
            <a:schemeClr val="phClr">
              <a:tint val="88000"/>
              <a:satMod val="150000"/>
            </a:schemeClr>
          </a:duotone>
        </a:blip>
        <a:tile tx="0" ty="0" sx="65000" sy="65000" flip="none" algn="tl"/>
      </a:blipFill>
    </a:bgFillStyleLst>
  </a:fmtScheme>
</a:themeOverride>
</file>

<file path=word/theme/themeOverride3.xml><?xml version="1.0" encoding="utf-8"?>
<a:themeOverride xmlns:a="http://schemas.openxmlformats.org/drawingml/2006/main">
  <a:clrScheme name="Поток">
    <a:dk1>
      <a:sysClr val="windowText" lastClr="000000"/>
    </a:dk1>
    <a:lt1>
      <a:sysClr val="window" lastClr="FFFFFF"/>
    </a:lt1>
    <a:dk2>
      <a:srgbClr val="04617B"/>
    </a:dk2>
    <a:lt2>
      <a:srgbClr val="DBF5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E2D700"/>
    </a:hlink>
    <a:folHlink>
      <a:srgbClr val="85DFD0"/>
    </a:folHlink>
  </a:clrScheme>
  <a:fontScheme name="Апекс">
    <a:majorFont>
      <a:latin typeface="Lucida Sans"/>
      <a:ea typeface=""/>
      <a:cs typeface=""/>
      <a:font script="Grek" typeface="Arial"/>
      <a:font script="Cyrl" typeface="Arial"/>
      <a:font script="Jpan" typeface="HG丸ｺﾞｼｯｸM-PRO"/>
      <a:font script="Hang" typeface="휴먼옛체"/>
      <a:font script="Hans" typeface="黑体"/>
      <a:font script="Hant" typeface="微軟正黑體"/>
      <a:font script="Arab" typeface="Tahoma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明朝B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80000"/>
              <a:satMod val="400000"/>
            </a:schemeClr>
          </a:gs>
          <a:gs pos="25000">
            <a:schemeClr val="phClr">
              <a:tint val="83000"/>
              <a:satMod val="320000"/>
            </a:schemeClr>
          </a:gs>
          <a:gs pos="100000">
            <a:schemeClr val="phClr">
              <a:shade val="15000"/>
              <a:satMod val="320000"/>
            </a:schemeClr>
          </a:gs>
        </a:gsLst>
        <a:path path="circle">
          <a:fillToRect l="10000" t="110000" r="10000" b="100000"/>
        </a:path>
      </a:gradFill>
      <a:blipFill>
        <a:blip xmlns:r="http://schemas.openxmlformats.org/officeDocument/2006/relationships" r:embed="rId2">
          <a:duotone>
            <a:schemeClr val="phClr">
              <a:shade val="90000"/>
              <a:satMod val="150000"/>
            </a:schemeClr>
            <a:schemeClr val="phClr">
              <a:tint val="88000"/>
              <a:satMod val="150000"/>
            </a:schemeClr>
          </a:duotone>
        </a:blip>
        <a:tile tx="0" ty="0" sx="65000" sy="65000" flip="none" algn="tl"/>
      </a:blipFill>
    </a:bgFillStyleLst>
  </a:fmtScheme>
</a:themeOverride>
</file>

<file path=word/theme/themeOverride4.xml><?xml version="1.0" encoding="utf-8"?>
<a:themeOverride xmlns:a="http://schemas.openxmlformats.org/drawingml/2006/main">
  <a:clrScheme name="Поток">
    <a:dk1>
      <a:sysClr val="windowText" lastClr="000000"/>
    </a:dk1>
    <a:lt1>
      <a:sysClr val="window" lastClr="FFFFFF"/>
    </a:lt1>
    <a:dk2>
      <a:srgbClr val="04617B"/>
    </a:dk2>
    <a:lt2>
      <a:srgbClr val="DBF5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E2D700"/>
    </a:hlink>
    <a:folHlink>
      <a:srgbClr val="85DFD0"/>
    </a:folHlink>
  </a:clrScheme>
  <a:fontScheme name="Апекс">
    <a:majorFont>
      <a:latin typeface="Lucida Sans"/>
      <a:ea typeface=""/>
      <a:cs typeface=""/>
      <a:font script="Grek" typeface="Arial"/>
      <a:font script="Cyrl" typeface="Arial"/>
      <a:font script="Jpan" typeface="HG丸ｺﾞｼｯｸM-PRO"/>
      <a:font script="Hang" typeface="휴먼옛체"/>
      <a:font script="Hans" typeface="黑体"/>
      <a:font script="Hant" typeface="微軟正黑體"/>
      <a:font script="Arab" typeface="Tahoma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明朝B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80000"/>
              <a:satMod val="400000"/>
            </a:schemeClr>
          </a:gs>
          <a:gs pos="25000">
            <a:schemeClr val="phClr">
              <a:tint val="83000"/>
              <a:satMod val="320000"/>
            </a:schemeClr>
          </a:gs>
          <a:gs pos="100000">
            <a:schemeClr val="phClr">
              <a:shade val="15000"/>
              <a:satMod val="320000"/>
            </a:schemeClr>
          </a:gs>
        </a:gsLst>
        <a:path path="circle">
          <a:fillToRect l="10000" t="110000" r="10000" b="100000"/>
        </a:path>
      </a:gradFill>
      <a:blipFill>
        <a:blip xmlns:r="http://schemas.openxmlformats.org/officeDocument/2006/relationships" r:embed="rId2">
          <a:duotone>
            <a:schemeClr val="phClr">
              <a:shade val="90000"/>
              <a:satMod val="150000"/>
            </a:schemeClr>
            <a:schemeClr val="phClr">
              <a:tint val="88000"/>
              <a:satMod val="150000"/>
            </a:schemeClr>
          </a:duotone>
        </a:blip>
        <a:tile tx="0" ty="0" sx="65000" sy="65000" flip="none" algn="tl"/>
      </a:blip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Поток">
    <a:dk1>
      <a:sysClr val="windowText" lastClr="000000"/>
    </a:dk1>
    <a:lt1>
      <a:sysClr val="window" lastClr="FFFFFF"/>
    </a:lt1>
    <a:dk2>
      <a:srgbClr val="04617B"/>
    </a:dk2>
    <a:lt2>
      <a:srgbClr val="DBF5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E2D700"/>
    </a:hlink>
    <a:folHlink>
      <a:srgbClr val="85DFD0"/>
    </a:folHlink>
  </a:clrScheme>
  <a:fontScheme name="Апекс">
    <a:majorFont>
      <a:latin typeface="Lucida Sans"/>
      <a:ea typeface=""/>
      <a:cs typeface=""/>
      <a:font script="Grek" typeface="Arial"/>
      <a:font script="Cyrl" typeface="Arial"/>
      <a:font script="Jpan" typeface="HG丸ｺﾞｼｯｸM-PRO"/>
      <a:font script="Hang" typeface="휴먼옛체"/>
      <a:font script="Hans" typeface="黑体"/>
      <a:font script="Hant" typeface="微軟正黑體"/>
      <a:font script="Arab" typeface="Tahoma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明朝B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Бумажная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80000"/>
              <a:satMod val="400000"/>
            </a:schemeClr>
          </a:gs>
          <a:gs pos="25000">
            <a:schemeClr val="phClr">
              <a:tint val="83000"/>
              <a:satMod val="320000"/>
            </a:schemeClr>
          </a:gs>
          <a:gs pos="100000">
            <a:schemeClr val="phClr">
              <a:shade val="15000"/>
              <a:satMod val="320000"/>
            </a:schemeClr>
          </a:gs>
        </a:gsLst>
        <a:path path="circle">
          <a:fillToRect l="10000" t="110000" r="10000" b="100000"/>
        </a:path>
      </a:gradFill>
      <a:blipFill>
        <a:blip xmlns:r="http://schemas.openxmlformats.org/officeDocument/2006/relationships" r:embed="rId2">
          <a:duotone>
            <a:schemeClr val="phClr">
              <a:shade val="90000"/>
              <a:satMod val="150000"/>
            </a:schemeClr>
            <a:schemeClr val="phClr">
              <a:tint val="88000"/>
              <a:satMod val="150000"/>
            </a:schemeClr>
          </a:duotone>
        </a:blip>
        <a:tile tx="0" ty="0" sx="65000" sy="65000" flip="none" algn="tl"/>
      </a:blip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8729</Words>
  <Characters>49761</Characters>
  <Application>Microsoft Office Word</Application>
  <DocSecurity>0</DocSecurity>
  <Lines>414</Lines>
  <Paragraphs>116</Paragraphs>
  <ScaleCrop>false</ScaleCrop>
  <Company/>
  <LinksUpToDate>false</LinksUpToDate>
  <CharactersWithSpaces>58374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Мельникова</dc:creator>
  <cp:keywords/>
  <dc:description/>
  <cp:lastModifiedBy>Лилия Мельникова</cp:lastModifiedBy>
  <cp:revision>3</cp:revision>
  <dcterms:created xsi:type="dcterms:W3CDTF">2025-05-14T09:00:00Z</dcterms:created>
  <dcterms:modified xsi:type="dcterms:W3CDTF">2025-05-14T10:53:00Z</dcterms:modified>
</cp:coreProperties>
</file>