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1F" w:rsidRDefault="00A722D1"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Выписка из п</w:t>
      </w:r>
      <w:r w:rsidR="0016781F">
        <w:rPr>
          <w:rFonts w:ascii="Times New Roman" w:hAnsi="Times New Roman" w:cs="Times New Roman"/>
          <w:b/>
          <w:sz w:val="24"/>
          <w:szCs w:val="24"/>
        </w:rPr>
        <w:t>ротокол</w:t>
      </w:r>
      <w:r>
        <w:rPr>
          <w:rFonts w:ascii="Times New Roman" w:hAnsi="Times New Roman" w:cs="Times New Roman"/>
          <w:b/>
          <w:sz w:val="24"/>
          <w:szCs w:val="24"/>
        </w:rPr>
        <w:t>а</w:t>
      </w:r>
      <w:r w:rsidR="0016781F">
        <w:rPr>
          <w:rFonts w:ascii="Times New Roman" w:hAnsi="Times New Roman" w:cs="Times New Roman"/>
          <w:b/>
          <w:sz w:val="24"/>
          <w:szCs w:val="24"/>
        </w:rPr>
        <w:t xml:space="preserve"> № 3</w:t>
      </w:r>
    </w:p>
    <w:p w:rsidR="0016781F" w:rsidRDefault="0016781F"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заседания Общественного совета </w:t>
      </w:r>
    </w:p>
    <w:p w:rsidR="0016781F" w:rsidRDefault="0016781F"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городского поселения Федоровский</w:t>
      </w:r>
    </w:p>
    <w:p w:rsidR="0016781F" w:rsidRDefault="0016781F" w:rsidP="0016781F">
      <w:pPr>
        <w:spacing w:after="0" w:line="240" w:lineRule="auto"/>
        <w:ind w:firstLine="567"/>
        <w:jc w:val="center"/>
        <w:rPr>
          <w:rFonts w:ascii="Times New Roman" w:hAnsi="Times New Roman" w:cs="Times New Roman"/>
          <w:b/>
          <w:sz w:val="24"/>
          <w:szCs w:val="24"/>
        </w:rPr>
      </w:pPr>
    </w:p>
    <w:p w:rsidR="0016781F" w:rsidRDefault="0016781F" w:rsidP="0016781F">
      <w:pPr>
        <w:spacing w:after="0" w:line="240" w:lineRule="auto"/>
        <w:ind w:firstLine="567"/>
        <w:jc w:val="center"/>
        <w:rPr>
          <w:rFonts w:ascii="Times New Roman" w:hAnsi="Times New Roman" w:cs="Times New Roman"/>
          <w:b/>
          <w:sz w:val="24"/>
          <w:szCs w:val="24"/>
        </w:rPr>
      </w:pPr>
    </w:p>
    <w:p w:rsidR="0016781F" w:rsidRDefault="0016781F" w:rsidP="0016781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«10» октября 2024 года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Федоровский</w:t>
      </w:r>
    </w:p>
    <w:p w:rsidR="0016781F" w:rsidRDefault="0016781F" w:rsidP="0016781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17.00</w:t>
      </w:r>
    </w:p>
    <w:p w:rsidR="0016781F" w:rsidRDefault="0016781F" w:rsidP="0016781F">
      <w:pPr>
        <w:spacing w:after="0" w:line="240" w:lineRule="auto"/>
        <w:ind w:firstLine="567"/>
        <w:rPr>
          <w:rFonts w:ascii="Times New Roman" w:hAnsi="Times New Roman" w:cs="Times New Roman"/>
          <w:sz w:val="24"/>
          <w:szCs w:val="24"/>
        </w:rPr>
      </w:pPr>
    </w:p>
    <w:p w:rsidR="0016781F" w:rsidRDefault="0016781F"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Повестка:</w:t>
      </w:r>
    </w:p>
    <w:p w:rsidR="0016781F" w:rsidRDefault="0016781F" w:rsidP="0016781F">
      <w:pPr>
        <w:tabs>
          <w:tab w:val="left" w:pos="993"/>
        </w:tabs>
        <w:spacing w:after="0" w:line="240" w:lineRule="auto"/>
        <w:ind w:firstLine="567"/>
        <w:jc w:val="center"/>
        <w:rPr>
          <w:rFonts w:ascii="Times New Roman" w:hAnsi="Times New Roman" w:cs="Times New Roman"/>
          <w:b/>
          <w:sz w:val="24"/>
          <w:szCs w:val="24"/>
        </w:rPr>
      </w:pPr>
    </w:p>
    <w:p w:rsidR="0016781F" w:rsidRPr="0016781F" w:rsidRDefault="0016781F" w:rsidP="0016781F">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6781F">
        <w:rPr>
          <w:rFonts w:ascii="Times New Roman" w:eastAsia="Times New Roman" w:hAnsi="Times New Roman" w:cs="Times New Roman"/>
          <w:sz w:val="24"/>
          <w:szCs w:val="24"/>
          <w:lang w:eastAsia="ru-RU"/>
        </w:rPr>
        <w:t>О ходе подготовки к осенне-зимнему отопительному периоду на территории городского поселения Федоровский.</w:t>
      </w:r>
    </w:p>
    <w:p w:rsidR="0016781F" w:rsidRPr="0016781F" w:rsidRDefault="0016781F" w:rsidP="0016781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6781F">
        <w:rPr>
          <w:rFonts w:ascii="Times New Roman" w:eastAsia="Times New Roman" w:hAnsi="Times New Roman" w:cs="Times New Roman"/>
          <w:sz w:val="24"/>
          <w:szCs w:val="24"/>
          <w:lang w:eastAsia="ru-RU"/>
        </w:rPr>
        <w:t xml:space="preserve">Докладчик: </w:t>
      </w:r>
    </w:p>
    <w:p w:rsidR="0016781F" w:rsidRPr="0016781F" w:rsidRDefault="0016781F" w:rsidP="004F4C1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6781F">
        <w:rPr>
          <w:rFonts w:ascii="Times New Roman" w:eastAsia="Times New Roman" w:hAnsi="Times New Roman" w:cs="Times New Roman"/>
          <w:sz w:val="24"/>
          <w:szCs w:val="24"/>
          <w:lang w:eastAsia="ru-RU"/>
        </w:rPr>
        <w:t xml:space="preserve">Гусейнов Руслан </w:t>
      </w:r>
      <w:proofErr w:type="spellStart"/>
      <w:r w:rsidRPr="0016781F">
        <w:rPr>
          <w:rFonts w:ascii="Times New Roman" w:eastAsia="Times New Roman" w:hAnsi="Times New Roman" w:cs="Times New Roman"/>
          <w:sz w:val="24"/>
          <w:szCs w:val="24"/>
          <w:lang w:eastAsia="ru-RU"/>
        </w:rPr>
        <w:t>Гусейнович</w:t>
      </w:r>
      <w:proofErr w:type="spellEnd"/>
      <w:r w:rsidRPr="0016781F">
        <w:rPr>
          <w:rFonts w:ascii="Times New Roman" w:eastAsia="Times New Roman" w:hAnsi="Times New Roman" w:cs="Times New Roman"/>
          <w:sz w:val="24"/>
          <w:szCs w:val="24"/>
          <w:lang w:eastAsia="ru-RU"/>
        </w:rPr>
        <w:t xml:space="preserve"> – главный инженер МУП «Федоровское ЖКХ».</w:t>
      </w:r>
    </w:p>
    <w:p w:rsidR="0016781F" w:rsidRPr="0016781F" w:rsidRDefault="0016781F" w:rsidP="0016781F">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6781F">
        <w:rPr>
          <w:rFonts w:ascii="Times New Roman" w:eastAsia="Times New Roman" w:hAnsi="Times New Roman" w:cs="Times New Roman"/>
          <w:sz w:val="24"/>
          <w:szCs w:val="24"/>
          <w:lang w:eastAsia="ru-RU"/>
        </w:rPr>
        <w:t>О ходе реализации проекта «Пушкинская карта» в городском поселении Федоровский.</w:t>
      </w:r>
    </w:p>
    <w:p w:rsidR="0016781F" w:rsidRPr="0016781F" w:rsidRDefault="0016781F" w:rsidP="0016781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6781F">
        <w:rPr>
          <w:rFonts w:ascii="Times New Roman" w:eastAsia="Times New Roman" w:hAnsi="Times New Roman" w:cs="Times New Roman"/>
          <w:sz w:val="24"/>
          <w:szCs w:val="24"/>
          <w:lang w:eastAsia="ru-RU"/>
        </w:rPr>
        <w:t xml:space="preserve">Докладчик: </w:t>
      </w:r>
    </w:p>
    <w:p w:rsidR="0016781F" w:rsidRPr="0016781F" w:rsidRDefault="0016781F" w:rsidP="0016781F">
      <w:pPr>
        <w:tabs>
          <w:tab w:val="left" w:pos="993"/>
        </w:tabs>
        <w:spacing w:after="0" w:line="240" w:lineRule="auto"/>
        <w:ind w:firstLine="709"/>
        <w:jc w:val="both"/>
        <w:rPr>
          <w:rFonts w:ascii="Times New Roman" w:eastAsia="Times New Roman" w:hAnsi="Times New Roman" w:cs="Times New Roman"/>
          <w:sz w:val="24"/>
          <w:szCs w:val="24"/>
          <w:lang w:eastAsia="ru-RU"/>
        </w:rPr>
      </w:pPr>
      <w:proofErr w:type="spellStart"/>
      <w:r w:rsidRPr="0016781F">
        <w:rPr>
          <w:rFonts w:ascii="Times New Roman" w:eastAsia="Times New Roman" w:hAnsi="Times New Roman" w:cs="Times New Roman"/>
          <w:sz w:val="24"/>
          <w:szCs w:val="24"/>
          <w:lang w:eastAsia="ru-RU"/>
        </w:rPr>
        <w:t>Несрединова</w:t>
      </w:r>
      <w:proofErr w:type="spellEnd"/>
      <w:r w:rsidRPr="0016781F">
        <w:rPr>
          <w:rFonts w:ascii="Times New Roman" w:eastAsia="Times New Roman" w:hAnsi="Times New Roman" w:cs="Times New Roman"/>
          <w:sz w:val="24"/>
          <w:szCs w:val="24"/>
          <w:lang w:eastAsia="ru-RU"/>
        </w:rPr>
        <w:t xml:space="preserve"> Олеся Валентиновна – директор МАУК «КДЦ «Премьер»;</w:t>
      </w:r>
    </w:p>
    <w:p w:rsidR="0016781F" w:rsidRPr="0016781F" w:rsidRDefault="0016781F" w:rsidP="0016781F">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6781F">
        <w:rPr>
          <w:rFonts w:ascii="Times New Roman" w:eastAsia="Times New Roman" w:hAnsi="Times New Roman" w:cs="Times New Roman"/>
          <w:sz w:val="24"/>
          <w:szCs w:val="24"/>
          <w:lang w:eastAsia="ru-RU"/>
        </w:rPr>
        <w:t>О мерах поддержки субъектов малого и среднего предпринимательства в городском поселении Федоровский.</w:t>
      </w:r>
    </w:p>
    <w:p w:rsidR="0016781F" w:rsidRPr="0016781F" w:rsidRDefault="0016781F" w:rsidP="0016781F">
      <w:pPr>
        <w:spacing w:after="0" w:line="240" w:lineRule="auto"/>
        <w:ind w:firstLine="709"/>
        <w:contextualSpacing/>
        <w:jc w:val="both"/>
        <w:rPr>
          <w:rFonts w:ascii="Times New Roman" w:eastAsia="Times New Roman" w:hAnsi="Times New Roman" w:cs="Times New Roman"/>
          <w:sz w:val="24"/>
          <w:szCs w:val="24"/>
          <w:lang w:eastAsia="ru-RU"/>
        </w:rPr>
      </w:pPr>
      <w:r w:rsidRPr="0016781F">
        <w:rPr>
          <w:rFonts w:ascii="Times New Roman" w:eastAsia="Times New Roman" w:hAnsi="Times New Roman" w:cs="Times New Roman"/>
          <w:sz w:val="24"/>
          <w:szCs w:val="24"/>
          <w:lang w:eastAsia="ru-RU"/>
        </w:rPr>
        <w:t xml:space="preserve">Докладчик: </w:t>
      </w:r>
    </w:p>
    <w:p w:rsidR="0016781F" w:rsidRPr="0016781F" w:rsidRDefault="0016781F" w:rsidP="0016781F">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16781F">
        <w:rPr>
          <w:rFonts w:ascii="Times New Roman" w:eastAsia="Times New Roman" w:hAnsi="Times New Roman" w:cs="Times New Roman"/>
          <w:sz w:val="24"/>
          <w:szCs w:val="24"/>
          <w:lang w:eastAsia="ru-RU"/>
        </w:rPr>
        <w:t>Микитюк</w:t>
      </w:r>
      <w:proofErr w:type="spellEnd"/>
      <w:r w:rsidRPr="0016781F">
        <w:rPr>
          <w:rFonts w:ascii="Times New Roman" w:eastAsia="Times New Roman" w:hAnsi="Times New Roman" w:cs="Times New Roman"/>
          <w:sz w:val="24"/>
          <w:szCs w:val="24"/>
          <w:lang w:eastAsia="ru-RU"/>
        </w:rPr>
        <w:t xml:space="preserve"> Ирина Алексеевна – заместитель начальника финансово-экономического управления.</w:t>
      </w:r>
    </w:p>
    <w:p w:rsidR="0016781F" w:rsidRPr="0016781F" w:rsidRDefault="0016781F" w:rsidP="0016781F">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6781F">
        <w:rPr>
          <w:rFonts w:ascii="Times New Roman" w:eastAsia="Times New Roman" w:hAnsi="Times New Roman" w:cs="Times New Roman"/>
          <w:sz w:val="24"/>
          <w:szCs w:val="24"/>
          <w:lang w:eastAsia="ru-RU"/>
        </w:rPr>
        <w:t>Разное.</w:t>
      </w:r>
    </w:p>
    <w:p w:rsidR="0016781F" w:rsidRPr="0016781F" w:rsidRDefault="0016781F" w:rsidP="0016781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781F">
        <w:rPr>
          <w:rFonts w:ascii="Times New Roman" w:eastAsia="Times New Roman" w:hAnsi="Times New Roman" w:cs="Times New Roman"/>
          <w:sz w:val="24"/>
          <w:szCs w:val="24"/>
          <w:lang w:eastAsia="ru-RU"/>
        </w:rPr>
        <w:t>О выдвижении кандидатур к награждению от Общественного совета в рамках празднования 40-летия городского поселения Федоровский.</w:t>
      </w:r>
    </w:p>
    <w:p w:rsidR="0016781F" w:rsidRPr="0016781F" w:rsidRDefault="0016781F" w:rsidP="0016781F">
      <w:pPr>
        <w:spacing w:after="0" w:line="240" w:lineRule="auto"/>
        <w:ind w:firstLine="708"/>
        <w:jc w:val="both"/>
        <w:rPr>
          <w:rFonts w:ascii="Times New Roman" w:eastAsia="Times New Roman" w:hAnsi="Times New Roman" w:cs="Times New Roman"/>
          <w:sz w:val="24"/>
          <w:szCs w:val="24"/>
          <w:lang w:eastAsia="ru-RU"/>
        </w:rPr>
      </w:pPr>
      <w:r w:rsidRPr="0016781F">
        <w:rPr>
          <w:rFonts w:ascii="Times New Roman" w:eastAsia="Times New Roman" w:hAnsi="Times New Roman" w:cs="Times New Roman"/>
          <w:sz w:val="24"/>
          <w:szCs w:val="24"/>
          <w:lang w:eastAsia="ru-RU"/>
        </w:rPr>
        <w:t xml:space="preserve">Докладчик: </w:t>
      </w:r>
    </w:p>
    <w:p w:rsidR="0016781F" w:rsidRPr="0016781F" w:rsidRDefault="0016781F" w:rsidP="0016781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781F">
        <w:rPr>
          <w:rFonts w:ascii="Times New Roman" w:eastAsia="Times New Roman" w:hAnsi="Times New Roman" w:cs="Times New Roman"/>
          <w:sz w:val="24"/>
          <w:szCs w:val="24"/>
          <w:lang w:eastAsia="ru-RU"/>
        </w:rPr>
        <w:t>Сафронова Марина Анатольевна – заместитель главы городского поселения Федоровский – начальник управления.</w:t>
      </w:r>
    </w:p>
    <w:p w:rsidR="0016781F" w:rsidRPr="0016781F" w:rsidRDefault="0016781F" w:rsidP="0016781F">
      <w:pPr>
        <w:spacing w:after="0" w:line="240" w:lineRule="auto"/>
        <w:ind w:left="709"/>
        <w:contextualSpacing/>
        <w:jc w:val="both"/>
        <w:rPr>
          <w:rFonts w:ascii="Times New Roman" w:eastAsia="Times New Roman" w:hAnsi="Times New Roman" w:cs="Times New Roman"/>
          <w:sz w:val="29"/>
          <w:szCs w:val="29"/>
          <w:lang w:eastAsia="ru-RU"/>
        </w:rPr>
      </w:pPr>
    </w:p>
    <w:p w:rsidR="0016781F" w:rsidRDefault="0016781F" w:rsidP="0016781F">
      <w:pPr>
        <w:pStyle w:val="a3"/>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Ход совета:</w:t>
      </w:r>
    </w:p>
    <w:p w:rsidR="0016781F" w:rsidRDefault="0016781F" w:rsidP="0016781F">
      <w:pPr>
        <w:pStyle w:val="a3"/>
        <w:spacing w:after="0" w:line="240" w:lineRule="auto"/>
        <w:ind w:left="0" w:firstLine="567"/>
        <w:jc w:val="center"/>
        <w:rPr>
          <w:rFonts w:ascii="Times New Roman" w:hAnsi="Times New Roman" w:cs="Times New Roman"/>
          <w:b/>
          <w:sz w:val="24"/>
          <w:szCs w:val="24"/>
        </w:rPr>
      </w:pPr>
    </w:p>
    <w:p w:rsidR="0016781F" w:rsidRDefault="0016781F" w:rsidP="0016781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C313D">
        <w:rPr>
          <w:rFonts w:ascii="Times New Roman" w:hAnsi="Times New Roman" w:cs="Times New Roman"/>
          <w:sz w:val="24"/>
          <w:szCs w:val="24"/>
        </w:rPr>
        <w:t>1.</w:t>
      </w:r>
      <w:r>
        <w:rPr>
          <w:rFonts w:ascii="Times New Roman" w:hAnsi="Times New Roman" w:cs="Times New Roman"/>
          <w:sz w:val="24"/>
          <w:szCs w:val="24"/>
        </w:rPr>
        <w:t xml:space="preserve">По первому вопросу заседания выступил </w:t>
      </w:r>
      <w:r w:rsidRPr="0016781F">
        <w:rPr>
          <w:rFonts w:ascii="Times New Roman" w:eastAsia="Times New Roman" w:hAnsi="Times New Roman" w:cs="Times New Roman"/>
          <w:sz w:val="24"/>
          <w:szCs w:val="24"/>
          <w:lang w:eastAsia="ru-RU"/>
        </w:rPr>
        <w:t xml:space="preserve">Гусейнов Руслан </w:t>
      </w:r>
      <w:proofErr w:type="spellStart"/>
      <w:r w:rsidRPr="0016781F">
        <w:rPr>
          <w:rFonts w:ascii="Times New Roman" w:eastAsia="Times New Roman" w:hAnsi="Times New Roman" w:cs="Times New Roman"/>
          <w:sz w:val="24"/>
          <w:szCs w:val="24"/>
          <w:lang w:eastAsia="ru-RU"/>
        </w:rPr>
        <w:t>Гусейнович</w:t>
      </w:r>
      <w:proofErr w:type="spellEnd"/>
      <w:r w:rsidRPr="0016781F">
        <w:rPr>
          <w:rFonts w:ascii="Times New Roman" w:eastAsia="Times New Roman" w:hAnsi="Times New Roman" w:cs="Times New Roman"/>
          <w:sz w:val="24"/>
          <w:szCs w:val="24"/>
          <w:lang w:eastAsia="ru-RU"/>
        </w:rPr>
        <w:t xml:space="preserve"> – главный инженер МУП «Федоровское ЖКХ».</w:t>
      </w:r>
      <w:r>
        <w:rPr>
          <w:rFonts w:ascii="Times New Roman" w:eastAsia="Times New Roman" w:hAnsi="Times New Roman" w:cs="Times New Roman"/>
          <w:sz w:val="24"/>
          <w:szCs w:val="24"/>
          <w:lang w:eastAsia="ru-RU"/>
        </w:rPr>
        <w:t xml:space="preserve"> </w:t>
      </w:r>
    </w:p>
    <w:p w:rsidR="0016781F" w:rsidRPr="0016781F" w:rsidRDefault="0016781F" w:rsidP="0016781F">
      <w:pPr>
        <w:spacing w:after="0" w:line="240" w:lineRule="auto"/>
        <w:jc w:val="both"/>
        <w:rPr>
          <w:rFonts w:ascii="Times New Roman" w:eastAsia="Times New Roman" w:hAnsi="Times New Roman" w:cs="Times New Roman"/>
          <w:sz w:val="24"/>
          <w:szCs w:val="24"/>
          <w:lang w:eastAsia="ru-RU"/>
        </w:rPr>
      </w:pPr>
      <w:r w:rsidRPr="0016781F">
        <w:rPr>
          <w:rFonts w:ascii="Times New Roman" w:hAnsi="Times New Roman" w:cs="Times New Roman"/>
          <w:sz w:val="24"/>
          <w:szCs w:val="24"/>
        </w:rPr>
        <w:t xml:space="preserve">        В 2024 году при подготовке объектов к ОЗП 2024-2025гг. предприятием МУП «Федоровское ЖКХ» разработаны, утверждены организационно-технических мероприятий, согласно которых выполнены:</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sidRPr="0016781F">
        <w:rPr>
          <w:rFonts w:ascii="Times New Roman" w:hAnsi="Times New Roman" w:cs="Times New Roman"/>
          <w:sz w:val="24"/>
          <w:szCs w:val="24"/>
        </w:rPr>
        <w:t>- ремонт технологического оборудования котельной, центральных тепловых пунктов, главной канализационной насосной станции и водоочистной станции,</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sidRPr="0016781F">
        <w:rPr>
          <w:rFonts w:ascii="Times New Roman" w:hAnsi="Times New Roman" w:cs="Times New Roman"/>
          <w:sz w:val="24"/>
          <w:szCs w:val="24"/>
        </w:rPr>
        <w:t>-  промывка магистральных и внутриквартальных сетей ТВС и ВО.</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6781F">
        <w:rPr>
          <w:rFonts w:ascii="Times New Roman" w:hAnsi="Times New Roman" w:cs="Times New Roman"/>
          <w:sz w:val="24"/>
          <w:szCs w:val="24"/>
        </w:rPr>
        <w:t xml:space="preserve"> 01.07.2024г. проведены гидравлические испытания на магистральных сетях на плотность и герметичность. В ходе проведения испытаний произошло 15 (пятнадцать) повреждений (порывов) по теплоснабжению. Проведены мероприятия по восстановлению поврежденных участков трубопровода п</w:t>
      </w:r>
      <w:r>
        <w:rPr>
          <w:rFonts w:ascii="Times New Roman" w:hAnsi="Times New Roman" w:cs="Times New Roman"/>
          <w:sz w:val="24"/>
          <w:szCs w:val="24"/>
        </w:rPr>
        <w:t>утем проведения ремонтных работ.</w:t>
      </w:r>
      <w:r w:rsidR="00343703">
        <w:rPr>
          <w:rFonts w:ascii="Times New Roman" w:hAnsi="Times New Roman" w:cs="Times New Roman"/>
          <w:sz w:val="24"/>
          <w:szCs w:val="24"/>
        </w:rPr>
        <w:t xml:space="preserve"> </w:t>
      </w:r>
      <w:r w:rsidRPr="0016781F">
        <w:rPr>
          <w:rFonts w:ascii="Times New Roman" w:hAnsi="Times New Roman" w:cs="Times New Roman"/>
          <w:sz w:val="24"/>
          <w:szCs w:val="24"/>
        </w:rPr>
        <w:t>Общее количество порывов с учетом гидравлических испытаний за июль месяц составляет 40 порывов согласно данным инженерно-технологической службы. За август месяц составляет 31 порыв. За сентябрь 40 порывов.</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6781F">
        <w:rPr>
          <w:rFonts w:ascii="Times New Roman" w:hAnsi="Times New Roman" w:cs="Times New Roman"/>
          <w:sz w:val="24"/>
          <w:szCs w:val="24"/>
        </w:rPr>
        <w:t>Согласно утвержденного и согласованного графика отключен</w:t>
      </w:r>
      <w:r>
        <w:rPr>
          <w:rFonts w:ascii="Times New Roman" w:hAnsi="Times New Roman" w:cs="Times New Roman"/>
          <w:sz w:val="24"/>
          <w:szCs w:val="24"/>
        </w:rPr>
        <w:t xml:space="preserve">ия горячего </w:t>
      </w:r>
      <w:r w:rsidRPr="0016781F">
        <w:rPr>
          <w:rFonts w:ascii="Times New Roman" w:hAnsi="Times New Roman" w:cs="Times New Roman"/>
          <w:sz w:val="24"/>
          <w:szCs w:val="24"/>
        </w:rPr>
        <w:t xml:space="preserve">водоснабжения при подготовке к ОЗП 2024-2025г. отключение сетей горячего водоснабжения производилась с 01.07.2024 г. в 2 этапа. </w:t>
      </w:r>
    </w:p>
    <w:p w:rsidR="0016781F" w:rsidRPr="0016781F" w:rsidRDefault="0016781F" w:rsidP="0016781F">
      <w:pPr>
        <w:pStyle w:val="a3"/>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16781F">
        <w:rPr>
          <w:rFonts w:ascii="Times New Roman" w:hAnsi="Times New Roman" w:cs="Times New Roman"/>
          <w:sz w:val="24"/>
          <w:szCs w:val="24"/>
        </w:rPr>
        <w:t>1 этап с 01.07.2024г. по 14.07.2024г. Инженерные сети 1 этапа промыты.</w:t>
      </w:r>
    </w:p>
    <w:p w:rsidR="0016781F" w:rsidRPr="0016781F" w:rsidRDefault="0016781F" w:rsidP="0016781F">
      <w:pPr>
        <w:pStyle w:val="a3"/>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16781F">
        <w:rPr>
          <w:rFonts w:ascii="Times New Roman" w:hAnsi="Times New Roman" w:cs="Times New Roman"/>
          <w:sz w:val="24"/>
          <w:szCs w:val="24"/>
        </w:rPr>
        <w:t>2 этап с 13.07.2024г. по 26.07.2024г. Инженерные сети 2 этапа промыты.</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sidRPr="0016781F">
        <w:rPr>
          <w:rFonts w:ascii="Times New Roman" w:hAnsi="Times New Roman" w:cs="Times New Roman"/>
          <w:sz w:val="24"/>
          <w:szCs w:val="24"/>
        </w:rPr>
        <w:t xml:space="preserve">          В период отключения горячего водоснабжения производились ремонтные работы на объектах коммунальной сферы, а именно на котельной и ЦТП, а также ремонт магистраль</w:t>
      </w:r>
      <w:r>
        <w:rPr>
          <w:rFonts w:ascii="Times New Roman" w:hAnsi="Times New Roman" w:cs="Times New Roman"/>
          <w:sz w:val="24"/>
          <w:szCs w:val="24"/>
        </w:rPr>
        <w:t xml:space="preserve">ных и внутриквартальных сетей. </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sidRPr="0016781F">
        <w:rPr>
          <w:rFonts w:ascii="Times New Roman" w:hAnsi="Times New Roman" w:cs="Times New Roman"/>
          <w:sz w:val="24"/>
          <w:szCs w:val="24"/>
        </w:rPr>
        <w:lastRenderedPageBreak/>
        <w:t xml:space="preserve">         На сегодняшний день подготовка к осенне-зимнему периоду в отношении объектов инженерной инфраструктуры МУП «Федо</w:t>
      </w:r>
      <w:r>
        <w:rPr>
          <w:rFonts w:ascii="Times New Roman" w:hAnsi="Times New Roman" w:cs="Times New Roman"/>
          <w:sz w:val="24"/>
          <w:szCs w:val="24"/>
        </w:rPr>
        <w:t>ровское ЖКХ» выполнено на 100%.</w:t>
      </w:r>
    </w:p>
    <w:p w:rsidR="0016781F" w:rsidRPr="0016781F" w:rsidRDefault="0016781F" w:rsidP="0016781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6781F">
        <w:rPr>
          <w:rFonts w:ascii="Times New Roman" w:hAnsi="Times New Roman" w:cs="Times New Roman"/>
          <w:sz w:val="24"/>
          <w:szCs w:val="24"/>
        </w:rPr>
        <w:t xml:space="preserve">Согласно распоряжению администрации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 Федоровский №118-р от 28.08.2024г. начало отопительного сезона на объектах детских дошкольных учреждений, школ, социально-культурного значения 03.09.2024г. На сегодняшний день произведен полный запуск тепла на объекты жилищного фонда и сторонних потребителей.</w:t>
      </w:r>
    </w:p>
    <w:p w:rsidR="0016781F" w:rsidRPr="0016781F" w:rsidRDefault="0016781F" w:rsidP="00EC313D">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6781F">
        <w:rPr>
          <w:rFonts w:ascii="Times New Roman" w:hAnsi="Times New Roman" w:cs="Times New Roman"/>
          <w:sz w:val="24"/>
          <w:szCs w:val="24"/>
        </w:rPr>
        <w:t xml:space="preserve">Также в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 Федоровский в рамках контракта от 09.07.2021г. №45 проведена работа по строительству объекта: «Водозаборное очистное сооружение 16 000м3/</w:t>
      </w:r>
      <w:proofErr w:type="spellStart"/>
      <w:r w:rsidRPr="0016781F">
        <w:rPr>
          <w:rFonts w:ascii="Times New Roman" w:hAnsi="Times New Roman" w:cs="Times New Roman"/>
          <w:sz w:val="24"/>
          <w:szCs w:val="24"/>
        </w:rPr>
        <w:t>сут</w:t>
      </w:r>
      <w:proofErr w:type="spellEnd"/>
      <w:r w:rsidRPr="0016781F">
        <w:rPr>
          <w:rFonts w:ascii="Times New Roman" w:hAnsi="Times New Roman" w:cs="Times New Roman"/>
          <w:sz w:val="24"/>
          <w:szCs w:val="24"/>
        </w:rPr>
        <w:t>. Водоочистная станция 8000 м3/</w:t>
      </w:r>
      <w:proofErr w:type="spellStart"/>
      <w:r w:rsidRPr="0016781F">
        <w:rPr>
          <w:rFonts w:ascii="Times New Roman" w:hAnsi="Times New Roman" w:cs="Times New Roman"/>
          <w:sz w:val="24"/>
          <w:szCs w:val="24"/>
        </w:rPr>
        <w:t>сут</w:t>
      </w:r>
      <w:proofErr w:type="spellEnd"/>
      <w:r w:rsidRPr="0016781F">
        <w:rPr>
          <w:rFonts w:ascii="Times New Roman" w:hAnsi="Times New Roman" w:cs="Times New Roman"/>
          <w:sz w:val="24"/>
          <w:szCs w:val="24"/>
        </w:rPr>
        <w:t>. «Реконструкция станции обезжелезивания». В настоящее время проходит процедура передачи объекта.</w:t>
      </w:r>
      <w:r>
        <w:rPr>
          <w:rFonts w:ascii="Times New Roman" w:hAnsi="Times New Roman" w:cs="Times New Roman"/>
          <w:sz w:val="24"/>
          <w:szCs w:val="24"/>
        </w:rPr>
        <w:t xml:space="preserve"> </w:t>
      </w:r>
      <w:r w:rsidRPr="0016781F">
        <w:rPr>
          <w:rFonts w:ascii="Times New Roman" w:hAnsi="Times New Roman" w:cs="Times New Roman"/>
          <w:sz w:val="24"/>
          <w:szCs w:val="24"/>
        </w:rPr>
        <w:t>Также за счет собственных средств на предприятии МУП «Федоровское ЖКХ» при подготовке к ОЗП 2023-2024гг.производятся работы:</w:t>
      </w:r>
    </w:p>
    <w:p w:rsidR="0016781F" w:rsidRPr="0016781F" w:rsidRDefault="0016781F" w:rsidP="00EC313D">
      <w:pPr>
        <w:spacing w:after="0" w:line="240" w:lineRule="auto"/>
        <w:jc w:val="both"/>
        <w:rPr>
          <w:rFonts w:ascii="Times New Roman" w:hAnsi="Times New Roman" w:cs="Times New Roman"/>
          <w:sz w:val="24"/>
          <w:szCs w:val="24"/>
        </w:rPr>
      </w:pPr>
      <w:r w:rsidRPr="0016781F">
        <w:rPr>
          <w:rFonts w:ascii="Times New Roman" w:hAnsi="Times New Roman" w:cs="Times New Roman"/>
          <w:sz w:val="24"/>
          <w:szCs w:val="24"/>
        </w:rPr>
        <w:t>Вид расходов</w:t>
      </w:r>
      <w:r w:rsidRPr="0016781F">
        <w:rPr>
          <w:rFonts w:ascii="Times New Roman" w:hAnsi="Times New Roman" w:cs="Times New Roman"/>
          <w:sz w:val="24"/>
          <w:szCs w:val="24"/>
        </w:rPr>
        <w:tab/>
        <w:t>значение</w:t>
      </w:r>
      <w:r w:rsidRPr="0016781F">
        <w:rPr>
          <w:rFonts w:ascii="Times New Roman" w:hAnsi="Times New Roman" w:cs="Times New Roman"/>
          <w:sz w:val="24"/>
          <w:szCs w:val="24"/>
        </w:rPr>
        <w:tab/>
        <w:t xml:space="preserve">Собственные </w:t>
      </w:r>
      <w:proofErr w:type="gramStart"/>
      <w:r w:rsidRPr="0016781F">
        <w:rPr>
          <w:rFonts w:ascii="Times New Roman" w:hAnsi="Times New Roman" w:cs="Times New Roman"/>
          <w:sz w:val="24"/>
          <w:szCs w:val="24"/>
        </w:rPr>
        <w:t>средства(</w:t>
      </w:r>
      <w:proofErr w:type="gramEnd"/>
      <w:r w:rsidRPr="0016781F">
        <w:rPr>
          <w:rFonts w:ascii="Times New Roman" w:hAnsi="Times New Roman" w:cs="Times New Roman"/>
          <w:sz w:val="24"/>
          <w:szCs w:val="24"/>
        </w:rPr>
        <w:t>тыс. руб.)</w:t>
      </w:r>
    </w:p>
    <w:p w:rsidR="0016781F" w:rsidRPr="0016781F" w:rsidRDefault="0016781F" w:rsidP="00EC313D">
      <w:pPr>
        <w:spacing w:after="0" w:line="240" w:lineRule="auto"/>
        <w:jc w:val="both"/>
        <w:rPr>
          <w:rFonts w:ascii="Times New Roman" w:hAnsi="Times New Roman" w:cs="Times New Roman"/>
          <w:sz w:val="24"/>
          <w:szCs w:val="24"/>
        </w:rPr>
      </w:pPr>
      <w:r w:rsidRPr="0016781F">
        <w:rPr>
          <w:rFonts w:ascii="Times New Roman" w:hAnsi="Times New Roman" w:cs="Times New Roman"/>
          <w:sz w:val="24"/>
          <w:szCs w:val="24"/>
        </w:rPr>
        <w:t xml:space="preserve">Режимно-наладочные испытания котла КВГМ-30-150 заводской № 9851 рег.№5 Котельная №1А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w:t>
      </w:r>
      <w:r w:rsidR="00343703">
        <w:rPr>
          <w:rFonts w:ascii="Times New Roman" w:hAnsi="Times New Roman" w:cs="Times New Roman"/>
          <w:sz w:val="24"/>
          <w:szCs w:val="24"/>
        </w:rPr>
        <w:t xml:space="preserve"> Федоровский Сургутский </w:t>
      </w:r>
      <w:proofErr w:type="gramStart"/>
      <w:r w:rsidR="00343703">
        <w:rPr>
          <w:rFonts w:ascii="Times New Roman" w:hAnsi="Times New Roman" w:cs="Times New Roman"/>
          <w:sz w:val="24"/>
          <w:szCs w:val="24"/>
        </w:rPr>
        <w:t xml:space="preserve">район  </w:t>
      </w:r>
      <w:r w:rsidRPr="0016781F">
        <w:rPr>
          <w:rFonts w:ascii="Times New Roman" w:hAnsi="Times New Roman" w:cs="Times New Roman"/>
          <w:sz w:val="24"/>
          <w:szCs w:val="24"/>
        </w:rPr>
        <w:t>1</w:t>
      </w:r>
      <w:proofErr w:type="gramEnd"/>
      <w:r w:rsidRPr="0016781F">
        <w:rPr>
          <w:rFonts w:ascii="Times New Roman" w:hAnsi="Times New Roman" w:cs="Times New Roman"/>
          <w:sz w:val="24"/>
          <w:szCs w:val="24"/>
        </w:rPr>
        <w:t>шт.</w:t>
      </w:r>
      <w:r w:rsidRPr="0016781F">
        <w:rPr>
          <w:rFonts w:ascii="Times New Roman" w:hAnsi="Times New Roman" w:cs="Times New Roman"/>
          <w:sz w:val="24"/>
          <w:szCs w:val="24"/>
        </w:rPr>
        <w:tab/>
        <w:t>1 400,089</w:t>
      </w:r>
    </w:p>
    <w:p w:rsidR="0016781F" w:rsidRPr="0016781F" w:rsidRDefault="0016781F" w:rsidP="00EC313D">
      <w:pPr>
        <w:spacing w:after="0" w:line="240" w:lineRule="auto"/>
        <w:jc w:val="both"/>
        <w:rPr>
          <w:rFonts w:ascii="Times New Roman" w:hAnsi="Times New Roman" w:cs="Times New Roman"/>
          <w:sz w:val="24"/>
          <w:szCs w:val="24"/>
        </w:rPr>
      </w:pPr>
      <w:r w:rsidRPr="0016781F">
        <w:rPr>
          <w:rFonts w:ascii="Times New Roman" w:hAnsi="Times New Roman" w:cs="Times New Roman"/>
          <w:sz w:val="24"/>
          <w:szCs w:val="24"/>
        </w:rPr>
        <w:t xml:space="preserve">Режимно-наладочные испытания </w:t>
      </w:r>
      <w:proofErr w:type="spellStart"/>
      <w:r w:rsidRPr="0016781F">
        <w:rPr>
          <w:rFonts w:ascii="Times New Roman" w:hAnsi="Times New Roman" w:cs="Times New Roman"/>
          <w:sz w:val="24"/>
          <w:szCs w:val="24"/>
        </w:rPr>
        <w:t>Na-катионирования</w:t>
      </w:r>
      <w:proofErr w:type="spellEnd"/>
      <w:r w:rsidRPr="0016781F">
        <w:rPr>
          <w:rFonts w:ascii="Times New Roman" w:hAnsi="Times New Roman" w:cs="Times New Roman"/>
          <w:sz w:val="24"/>
          <w:szCs w:val="24"/>
        </w:rPr>
        <w:t xml:space="preserve"> котельной №1А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 Федоровский, Сургутский район</w:t>
      </w:r>
      <w:r w:rsidRPr="0016781F">
        <w:rPr>
          <w:rFonts w:ascii="Times New Roman" w:hAnsi="Times New Roman" w:cs="Times New Roman"/>
          <w:sz w:val="24"/>
          <w:szCs w:val="24"/>
        </w:rPr>
        <w:tab/>
        <w:t>1 шт.</w:t>
      </w:r>
      <w:r w:rsidRPr="0016781F">
        <w:rPr>
          <w:rFonts w:ascii="Times New Roman" w:hAnsi="Times New Roman" w:cs="Times New Roman"/>
          <w:sz w:val="24"/>
          <w:szCs w:val="24"/>
        </w:rPr>
        <w:tab/>
        <w:t>483,443</w:t>
      </w:r>
    </w:p>
    <w:p w:rsidR="0016781F" w:rsidRPr="0016781F" w:rsidRDefault="0016781F" w:rsidP="00EC313D">
      <w:pPr>
        <w:spacing w:after="0" w:line="240" w:lineRule="auto"/>
        <w:jc w:val="both"/>
        <w:rPr>
          <w:rFonts w:ascii="Times New Roman" w:hAnsi="Times New Roman" w:cs="Times New Roman"/>
          <w:sz w:val="24"/>
          <w:szCs w:val="24"/>
        </w:rPr>
      </w:pPr>
      <w:r w:rsidRPr="0016781F">
        <w:rPr>
          <w:rFonts w:ascii="Times New Roman" w:hAnsi="Times New Roman" w:cs="Times New Roman"/>
          <w:sz w:val="24"/>
          <w:szCs w:val="24"/>
        </w:rPr>
        <w:t>Промывка сетей теплоснабжения и горячего водоснабжения</w:t>
      </w:r>
      <w:r w:rsidRPr="0016781F">
        <w:rPr>
          <w:rFonts w:ascii="Times New Roman" w:hAnsi="Times New Roman" w:cs="Times New Roman"/>
          <w:sz w:val="24"/>
          <w:szCs w:val="24"/>
        </w:rPr>
        <w:tab/>
        <w:t xml:space="preserve">47 365,26 </w:t>
      </w:r>
      <w:proofErr w:type="spellStart"/>
      <w:proofErr w:type="gramStart"/>
      <w:r w:rsidRPr="0016781F">
        <w:rPr>
          <w:rFonts w:ascii="Times New Roman" w:hAnsi="Times New Roman" w:cs="Times New Roman"/>
          <w:sz w:val="24"/>
          <w:szCs w:val="24"/>
        </w:rPr>
        <w:t>м.п</w:t>
      </w:r>
      <w:proofErr w:type="spellEnd"/>
      <w:r w:rsidRPr="0016781F">
        <w:rPr>
          <w:rFonts w:ascii="Times New Roman" w:hAnsi="Times New Roman" w:cs="Times New Roman"/>
          <w:sz w:val="24"/>
          <w:szCs w:val="24"/>
        </w:rPr>
        <w:t>.(</w:t>
      </w:r>
      <w:proofErr w:type="gramEnd"/>
      <w:r w:rsidRPr="0016781F">
        <w:rPr>
          <w:rFonts w:ascii="Times New Roman" w:hAnsi="Times New Roman" w:cs="Times New Roman"/>
          <w:sz w:val="24"/>
          <w:szCs w:val="24"/>
        </w:rPr>
        <w:t>в 2-х трубном исполнении</w:t>
      </w:r>
      <w:r w:rsidRPr="0016781F">
        <w:rPr>
          <w:rFonts w:ascii="Times New Roman" w:hAnsi="Times New Roman" w:cs="Times New Roman"/>
          <w:sz w:val="24"/>
          <w:szCs w:val="24"/>
        </w:rPr>
        <w:tab/>
        <w:t>1 999,875</w:t>
      </w:r>
    </w:p>
    <w:p w:rsidR="0016781F" w:rsidRPr="004E6E48" w:rsidRDefault="0016781F" w:rsidP="00EC313D">
      <w:pPr>
        <w:spacing w:after="0" w:line="240" w:lineRule="auto"/>
        <w:jc w:val="both"/>
        <w:rPr>
          <w:rFonts w:ascii="Times New Roman" w:hAnsi="Times New Roman" w:cs="Times New Roman"/>
          <w:sz w:val="24"/>
          <w:szCs w:val="24"/>
        </w:rPr>
      </w:pPr>
      <w:r w:rsidRPr="004E6E48">
        <w:rPr>
          <w:rFonts w:ascii="Times New Roman" w:hAnsi="Times New Roman" w:cs="Times New Roman"/>
          <w:sz w:val="24"/>
          <w:szCs w:val="24"/>
        </w:rPr>
        <w:t>Промывк</w:t>
      </w:r>
      <w:r w:rsidR="00EC313D">
        <w:rPr>
          <w:rFonts w:ascii="Times New Roman" w:hAnsi="Times New Roman" w:cs="Times New Roman"/>
          <w:sz w:val="24"/>
          <w:szCs w:val="24"/>
        </w:rPr>
        <w:t xml:space="preserve">а сетей холодного водоснабжения 36 505,59 </w:t>
      </w:r>
      <w:proofErr w:type="spellStart"/>
      <w:r w:rsidR="00EC313D">
        <w:rPr>
          <w:rFonts w:ascii="Times New Roman" w:hAnsi="Times New Roman" w:cs="Times New Roman"/>
          <w:sz w:val="24"/>
          <w:szCs w:val="24"/>
        </w:rPr>
        <w:t>м.п</w:t>
      </w:r>
      <w:proofErr w:type="spellEnd"/>
      <w:r w:rsidR="00EC313D">
        <w:rPr>
          <w:rFonts w:ascii="Times New Roman" w:hAnsi="Times New Roman" w:cs="Times New Roman"/>
          <w:sz w:val="24"/>
          <w:szCs w:val="24"/>
        </w:rPr>
        <w:t xml:space="preserve">. </w:t>
      </w:r>
      <w:r w:rsidRPr="004E6E48">
        <w:rPr>
          <w:rFonts w:ascii="Times New Roman" w:hAnsi="Times New Roman" w:cs="Times New Roman"/>
          <w:sz w:val="24"/>
          <w:szCs w:val="24"/>
        </w:rPr>
        <w:t>1 246,379</w:t>
      </w:r>
    </w:p>
    <w:p w:rsidR="0016781F" w:rsidRPr="004E6E48" w:rsidRDefault="0016781F" w:rsidP="00EC313D">
      <w:pPr>
        <w:spacing w:after="0" w:line="240" w:lineRule="auto"/>
        <w:jc w:val="both"/>
        <w:rPr>
          <w:rFonts w:ascii="Times New Roman" w:hAnsi="Times New Roman" w:cs="Times New Roman"/>
          <w:sz w:val="24"/>
          <w:szCs w:val="24"/>
        </w:rPr>
      </w:pPr>
      <w:r w:rsidRPr="004E6E48">
        <w:rPr>
          <w:rFonts w:ascii="Times New Roman" w:hAnsi="Times New Roman" w:cs="Times New Roman"/>
          <w:sz w:val="24"/>
          <w:szCs w:val="24"/>
        </w:rPr>
        <w:t>Промывка сет</w:t>
      </w:r>
      <w:r w:rsidR="00EC313D">
        <w:rPr>
          <w:rFonts w:ascii="Times New Roman" w:hAnsi="Times New Roman" w:cs="Times New Roman"/>
          <w:sz w:val="24"/>
          <w:szCs w:val="24"/>
        </w:rPr>
        <w:t>ей водоотведения</w:t>
      </w:r>
      <w:r w:rsidR="00EC313D">
        <w:rPr>
          <w:rFonts w:ascii="Times New Roman" w:hAnsi="Times New Roman" w:cs="Times New Roman"/>
          <w:sz w:val="24"/>
          <w:szCs w:val="24"/>
        </w:rPr>
        <w:tab/>
        <w:t xml:space="preserve">39 107,22 </w:t>
      </w:r>
      <w:proofErr w:type="spellStart"/>
      <w:r w:rsidR="00EC313D">
        <w:rPr>
          <w:rFonts w:ascii="Times New Roman" w:hAnsi="Times New Roman" w:cs="Times New Roman"/>
          <w:sz w:val="24"/>
          <w:szCs w:val="24"/>
        </w:rPr>
        <w:t>м.п</w:t>
      </w:r>
      <w:proofErr w:type="spellEnd"/>
      <w:r w:rsidR="00EC313D">
        <w:rPr>
          <w:rFonts w:ascii="Times New Roman" w:hAnsi="Times New Roman" w:cs="Times New Roman"/>
          <w:sz w:val="24"/>
          <w:szCs w:val="24"/>
        </w:rPr>
        <w:t xml:space="preserve">. </w:t>
      </w:r>
      <w:r w:rsidRPr="004E6E48">
        <w:rPr>
          <w:rFonts w:ascii="Times New Roman" w:hAnsi="Times New Roman" w:cs="Times New Roman"/>
          <w:sz w:val="24"/>
          <w:szCs w:val="24"/>
        </w:rPr>
        <w:t>6 613,121</w:t>
      </w:r>
    </w:p>
    <w:p w:rsidR="0016781F" w:rsidRPr="004E6E48" w:rsidRDefault="0016781F" w:rsidP="00EC313D">
      <w:pPr>
        <w:spacing w:after="0" w:line="240" w:lineRule="auto"/>
        <w:jc w:val="both"/>
        <w:rPr>
          <w:rFonts w:ascii="Times New Roman" w:hAnsi="Times New Roman" w:cs="Times New Roman"/>
          <w:sz w:val="24"/>
          <w:szCs w:val="24"/>
        </w:rPr>
      </w:pPr>
      <w:r w:rsidRPr="004E6E48">
        <w:rPr>
          <w:rFonts w:ascii="Times New Roman" w:hAnsi="Times New Roman" w:cs="Times New Roman"/>
          <w:sz w:val="24"/>
          <w:szCs w:val="24"/>
        </w:rPr>
        <w:t xml:space="preserve">Подготовка котельной, котельного оборудования и центральных тепловых </w:t>
      </w:r>
      <w:r w:rsidR="004E6E48">
        <w:rPr>
          <w:rFonts w:ascii="Times New Roman" w:hAnsi="Times New Roman" w:cs="Times New Roman"/>
          <w:sz w:val="24"/>
          <w:szCs w:val="24"/>
        </w:rPr>
        <w:t xml:space="preserve">пунктов к отопительному периоду. </w:t>
      </w:r>
      <w:r w:rsidRPr="004E6E48">
        <w:rPr>
          <w:rFonts w:ascii="Times New Roman" w:hAnsi="Times New Roman" w:cs="Times New Roman"/>
          <w:sz w:val="24"/>
          <w:szCs w:val="24"/>
        </w:rPr>
        <w:t>Котельная №1А,</w:t>
      </w:r>
      <w:r w:rsidR="00EC313D">
        <w:rPr>
          <w:rFonts w:ascii="Times New Roman" w:hAnsi="Times New Roman" w:cs="Times New Roman"/>
          <w:sz w:val="24"/>
          <w:szCs w:val="24"/>
        </w:rPr>
        <w:t xml:space="preserve"> 12 ЦТП </w:t>
      </w:r>
      <w:r w:rsidRPr="004E6E48">
        <w:rPr>
          <w:rFonts w:ascii="Times New Roman" w:hAnsi="Times New Roman" w:cs="Times New Roman"/>
          <w:sz w:val="24"/>
          <w:szCs w:val="24"/>
        </w:rPr>
        <w:t>3 460,10</w:t>
      </w:r>
    </w:p>
    <w:p w:rsidR="004E6E48" w:rsidRDefault="0016781F" w:rsidP="00EC313D">
      <w:pPr>
        <w:spacing w:after="0" w:line="240" w:lineRule="auto"/>
        <w:jc w:val="both"/>
        <w:rPr>
          <w:rFonts w:ascii="Times New Roman" w:hAnsi="Times New Roman" w:cs="Times New Roman"/>
          <w:sz w:val="24"/>
          <w:szCs w:val="24"/>
        </w:rPr>
      </w:pPr>
      <w:r w:rsidRPr="004E6E48">
        <w:rPr>
          <w:rFonts w:ascii="Times New Roman" w:hAnsi="Times New Roman" w:cs="Times New Roman"/>
          <w:sz w:val="24"/>
          <w:szCs w:val="24"/>
        </w:rPr>
        <w:t>Итого (ори</w:t>
      </w:r>
      <w:r w:rsidR="00EC313D">
        <w:rPr>
          <w:rFonts w:ascii="Times New Roman" w:hAnsi="Times New Roman" w:cs="Times New Roman"/>
          <w:sz w:val="24"/>
          <w:szCs w:val="24"/>
        </w:rPr>
        <w:t>ентировочная сумма</w:t>
      </w:r>
      <w:proofErr w:type="gramStart"/>
      <w:r w:rsidR="00EC313D">
        <w:rPr>
          <w:rFonts w:ascii="Times New Roman" w:hAnsi="Times New Roman" w:cs="Times New Roman"/>
          <w:sz w:val="24"/>
          <w:szCs w:val="24"/>
        </w:rPr>
        <w:t>):</w:t>
      </w:r>
      <w:r w:rsidR="00EC313D">
        <w:rPr>
          <w:rFonts w:ascii="Times New Roman" w:hAnsi="Times New Roman" w:cs="Times New Roman"/>
          <w:sz w:val="24"/>
          <w:szCs w:val="24"/>
        </w:rPr>
        <w:tab/>
      </w:r>
      <w:proofErr w:type="gramEnd"/>
      <w:r w:rsidR="004E6E48">
        <w:rPr>
          <w:rFonts w:ascii="Times New Roman" w:hAnsi="Times New Roman" w:cs="Times New Roman"/>
          <w:sz w:val="24"/>
          <w:szCs w:val="24"/>
        </w:rPr>
        <w:t xml:space="preserve">15 203,00 </w:t>
      </w:r>
    </w:p>
    <w:p w:rsidR="0016781F" w:rsidRPr="004E6E48" w:rsidRDefault="0016781F" w:rsidP="00EC313D">
      <w:pPr>
        <w:spacing w:after="0" w:line="240" w:lineRule="auto"/>
        <w:ind w:firstLine="708"/>
        <w:jc w:val="both"/>
        <w:rPr>
          <w:rFonts w:ascii="Times New Roman" w:hAnsi="Times New Roman" w:cs="Times New Roman"/>
          <w:sz w:val="24"/>
          <w:szCs w:val="24"/>
        </w:rPr>
      </w:pPr>
      <w:r w:rsidRPr="004E6E48">
        <w:rPr>
          <w:rFonts w:ascii="Times New Roman" w:hAnsi="Times New Roman" w:cs="Times New Roman"/>
          <w:sz w:val="24"/>
          <w:szCs w:val="24"/>
        </w:rPr>
        <w:t>На предприятии МУП «Федоровское ЖКХ» согласно планируемого перечня объектов реконструкции и капитального ремонта объектов ЖКХ на 2024 год заключены контракты:</w:t>
      </w:r>
    </w:p>
    <w:p w:rsidR="0016781F" w:rsidRPr="0016781F" w:rsidRDefault="0016781F" w:rsidP="00EC313D">
      <w:pPr>
        <w:pStyle w:val="a3"/>
        <w:spacing w:after="0" w:line="240" w:lineRule="auto"/>
        <w:ind w:left="0" w:firstLine="708"/>
        <w:jc w:val="both"/>
        <w:rPr>
          <w:rFonts w:ascii="Times New Roman" w:hAnsi="Times New Roman" w:cs="Times New Roman"/>
          <w:sz w:val="24"/>
          <w:szCs w:val="24"/>
        </w:rPr>
      </w:pPr>
      <w:r w:rsidRPr="0016781F">
        <w:rPr>
          <w:rFonts w:ascii="Times New Roman" w:hAnsi="Times New Roman" w:cs="Times New Roman"/>
          <w:sz w:val="24"/>
          <w:szCs w:val="24"/>
        </w:rPr>
        <w:t xml:space="preserve">1. Контракт № 0587600002124000001 от 09 апреля 2024г. «Капитальный ремонт котла КВГМ-30-150 зав. №9851 рег.№5 Котельная № 1А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 xml:space="preserve">. Федоровский Сургутский район». Сумма по закрытию 20 млн.193 </w:t>
      </w:r>
      <w:proofErr w:type="spellStart"/>
      <w:r w:rsidRPr="0016781F">
        <w:rPr>
          <w:rFonts w:ascii="Times New Roman" w:hAnsi="Times New Roman" w:cs="Times New Roman"/>
          <w:sz w:val="24"/>
          <w:szCs w:val="24"/>
        </w:rPr>
        <w:t>тыс</w:t>
      </w:r>
      <w:proofErr w:type="spellEnd"/>
      <w:r w:rsidRPr="0016781F">
        <w:rPr>
          <w:rFonts w:ascii="Times New Roman" w:hAnsi="Times New Roman" w:cs="Times New Roman"/>
          <w:sz w:val="24"/>
          <w:szCs w:val="24"/>
        </w:rPr>
        <w:t xml:space="preserve"> 045 руб.</w:t>
      </w:r>
    </w:p>
    <w:p w:rsidR="004E6E48" w:rsidRDefault="0016781F" w:rsidP="00EC313D">
      <w:pPr>
        <w:pStyle w:val="a3"/>
        <w:spacing w:after="0" w:line="240" w:lineRule="auto"/>
        <w:ind w:left="0" w:firstLine="708"/>
        <w:jc w:val="both"/>
        <w:rPr>
          <w:rFonts w:ascii="Times New Roman" w:hAnsi="Times New Roman" w:cs="Times New Roman"/>
          <w:sz w:val="24"/>
          <w:szCs w:val="24"/>
        </w:rPr>
      </w:pPr>
      <w:r w:rsidRPr="0016781F">
        <w:rPr>
          <w:rFonts w:ascii="Times New Roman" w:hAnsi="Times New Roman" w:cs="Times New Roman"/>
          <w:sz w:val="24"/>
          <w:szCs w:val="24"/>
        </w:rPr>
        <w:t>2.  Контракт №0587600002124000004 от «12» августа 2024г Текущий ремонт скважин №3 (СР-187), №10 (СР-830), №13 (СР-832) на объекте ВОС-16000м3/</w:t>
      </w:r>
      <w:proofErr w:type="spellStart"/>
      <w:r w:rsidRPr="0016781F">
        <w:rPr>
          <w:rFonts w:ascii="Times New Roman" w:hAnsi="Times New Roman" w:cs="Times New Roman"/>
          <w:sz w:val="24"/>
          <w:szCs w:val="24"/>
        </w:rPr>
        <w:t>сут</w:t>
      </w:r>
      <w:proofErr w:type="spellEnd"/>
      <w:r w:rsidRPr="0016781F">
        <w:rPr>
          <w:rFonts w:ascii="Times New Roman" w:hAnsi="Times New Roman" w:cs="Times New Roman"/>
          <w:sz w:val="24"/>
          <w:szCs w:val="24"/>
        </w:rPr>
        <w:t xml:space="preserve">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 Федоровский на сумму 3 407 211,68 руб.  Сумма по закрытию 3 млн. 373 тыс. 476 руб. 90 коп.</w:t>
      </w:r>
      <w:r w:rsidR="004E6E48">
        <w:rPr>
          <w:rFonts w:ascii="Times New Roman" w:hAnsi="Times New Roman" w:cs="Times New Roman"/>
          <w:sz w:val="24"/>
          <w:szCs w:val="24"/>
        </w:rPr>
        <w:t xml:space="preserve"> </w:t>
      </w:r>
    </w:p>
    <w:p w:rsidR="0016781F" w:rsidRPr="004E6E48" w:rsidRDefault="0016781F" w:rsidP="00EC313D">
      <w:pPr>
        <w:pStyle w:val="a3"/>
        <w:spacing w:after="0" w:line="240" w:lineRule="auto"/>
        <w:ind w:left="0"/>
        <w:jc w:val="both"/>
        <w:rPr>
          <w:rFonts w:ascii="Times New Roman" w:hAnsi="Times New Roman" w:cs="Times New Roman"/>
          <w:sz w:val="24"/>
          <w:szCs w:val="24"/>
        </w:rPr>
      </w:pPr>
      <w:r w:rsidRPr="004E6E48">
        <w:rPr>
          <w:rFonts w:ascii="Times New Roman" w:hAnsi="Times New Roman" w:cs="Times New Roman"/>
          <w:sz w:val="24"/>
          <w:szCs w:val="24"/>
        </w:rPr>
        <w:t xml:space="preserve">Также заключен контракт: </w:t>
      </w:r>
    </w:p>
    <w:p w:rsidR="0016781F" w:rsidRPr="0016781F" w:rsidRDefault="0016781F" w:rsidP="00EC313D">
      <w:pPr>
        <w:pStyle w:val="a3"/>
        <w:spacing w:after="0" w:line="240" w:lineRule="auto"/>
        <w:ind w:left="0" w:firstLine="708"/>
        <w:jc w:val="both"/>
        <w:rPr>
          <w:rFonts w:ascii="Times New Roman" w:hAnsi="Times New Roman" w:cs="Times New Roman"/>
          <w:sz w:val="24"/>
          <w:szCs w:val="24"/>
        </w:rPr>
      </w:pPr>
      <w:r w:rsidRPr="0016781F">
        <w:rPr>
          <w:rFonts w:ascii="Times New Roman" w:hAnsi="Times New Roman" w:cs="Times New Roman"/>
          <w:sz w:val="24"/>
          <w:szCs w:val="24"/>
        </w:rPr>
        <w:t xml:space="preserve">1.  Контракт №0587600002124000003 от «12» августа 2024г. «Капитальный ремонт канализационного коллектора от ВОС до ул. Пионерная (КК №608) </w:t>
      </w:r>
      <w:proofErr w:type="spellStart"/>
      <w:r w:rsidRPr="0016781F">
        <w:rPr>
          <w:rFonts w:ascii="Times New Roman" w:hAnsi="Times New Roman" w:cs="Times New Roman"/>
          <w:sz w:val="24"/>
          <w:szCs w:val="24"/>
        </w:rPr>
        <w:t>гп</w:t>
      </w:r>
      <w:proofErr w:type="spellEnd"/>
      <w:r w:rsidRPr="0016781F">
        <w:rPr>
          <w:rFonts w:ascii="Times New Roman" w:hAnsi="Times New Roman" w:cs="Times New Roman"/>
          <w:sz w:val="24"/>
          <w:szCs w:val="24"/>
        </w:rPr>
        <w:t>. Федоровский, Сургутский район» 1этап на сумму 23 508 550,00руб. производство работ до 01.12.2024г.</w:t>
      </w:r>
    </w:p>
    <w:p w:rsidR="0016781F" w:rsidRPr="004E6E48" w:rsidRDefault="0016781F" w:rsidP="00EC313D">
      <w:pPr>
        <w:pStyle w:val="a3"/>
        <w:spacing w:after="0" w:line="240" w:lineRule="auto"/>
        <w:ind w:left="0" w:firstLine="567"/>
        <w:jc w:val="both"/>
        <w:rPr>
          <w:rFonts w:ascii="Times New Roman" w:hAnsi="Times New Roman" w:cs="Times New Roman"/>
          <w:sz w:val="24"/>
          <w:szCs w:val="24"/>
        </w:rPr>
      </w:pPr>
      <w:r w:rsidRPr="0016781F">
        <w:rPr>
          <w:rFonts w:ascii="Times New Roman" w:hAnsi="Times New Roman" w:cs="Times New Roman"/>
          <w:sz w:val="24"/>
          <w:szCs w:val="24"/>
        </w:rPr>
        <w:t>2. Договор №90/32413967852 от 27.09.2024г. «Капитальный ремонт АСУТП «АГАВА» водогрейного котла КВГМ рег.№5 расширение блока А котельная №1А» на сумму 4 286 880,00 руб.</w:t>
      </w:r>
    </w:p>
    <w:p w:rsidR="00EC313D" w:rsidRDefault="00EC313D" w:rsidP="00EC313D">
      <w:pPr>
        <w:spacing w:after="0" w:line="240" w:lineRule="auto"/>
        <w:ind w:firstLine="567"/>
        <w:jc w:val="both"/>
        <w:rPr>
          <w:rFonts w:ascii="Times New Roman" w:hAnsi="Times New Roman" w:cs="Times New Roman"/>
          <w:b/>
          <w:sz w:val="24"/>
          <w:szCs w:val="24"/>
        </w:rPr>
      </w:pPr>
    </w:p>
    <w:p w:rsidR="0016781F" w:rsidRDefault="0016781F" w:rsidP="00EC313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Решили: </w:t>
      </w:r>
    </w:p>
    <w:p w:rsidR="0016781F" w:rsidRDefault="0016781F" w:rsidP="0016781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Информацию принять к сведению.</w:t>
      </w:r>
    </w:p>
    <w:p w:rsidR="00343703" w:rsidRDefault="00343703" w:rsidP="0016781F">
      <w:pPr>
        <w:pStyle w:val="a3"/>
        <w:tabs>
          <w:tab w:val="left" w:pos="1134"/>
        </w:tabs>
        <w:spacing w:after="0" w:line="240" w:lineRule="auto"/>
        <w:ind w:left="0" w:firstLine="567"/>
        <w:jc w:val="both"/>
        <w:rPr>
          <w:rFonts w:ascii="Times New Roman" w:hAnsi="Times New Roman" w:cs="Times New Roman"/>
          <w:sz w:val="24"/>
          <w:szCs w:val="24"/>
        </w:rPr>
      </w:pPr>
    </w:p>
    <w:p w:rsidR="00343703" w:rsidRPr="00343703" w:rsidRDefault="00343703" w:rsidP="00343703">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По второму вопросу заседания выступила </w:t>
      </w:r>
      <w:proofErr w:type="spellStart"/>
      <w:r w:rsidRPr="0016781F">
        <w:rPr>
          <w:rFonts w:ascii="Times New Roman" w:eastAsia="Times New Roman" w:hAnsi="Times New Roman" w:cs="Times New Roman"/>
          <w:sz w:val="24"/>
          <w:szCs w:val="24"/>
          <w:lang w:eastAsia="ru-RU"/>
        </w:rPr>
        <w:t>Несрединова</w:t>
      </w:r>
      <w:proofErr w:type="spellEnd"/>
      <w:r w:rsidRPr="0016781F">
        <w:rPr>
          <w:rFonts w:ascii="Times New Roman" w:eastAsia="Times New Roman" w:hAnsi="Times New Roman" w:cs="Times New Roman"/>
          <w:sz w:val="24"/>
          <w:szCs w:val="24"/>
          <w:lang w:eastAsia="ru-RU"/>
        </w:rPr>
        <w:t xml:space="preserve"> Олеся Валентиновна – директор МАУК «КДЦ «Премьер»;</w:t>
      </w:r>
    </w:p>
    <w:p w:rsidR="00343703" w:rsidRPr="00343703" w:rsidRDefault="00343703" w:rsidP="00343703">
      <w:pPr>
        <w:pStyle w:val="docdata"/>
        <w:spacing w:before="0" w:beforeAutospacing="0" w:after="0" w:afterAutospacing="0"/>
        <w:ind w:firstLine="708"/>
        <w:jc w:val="both"/>
      </w:pPr>
      <w:r w:rsidRPr="00343703">
        <w:rPr>
          <w:color w:val="000000"/>
        </w:rPr>
        <w:t>На 2024 год установлен план по продаже - 2189 билетов на сумму 588 500 рублей.</w:t>
      </w:r>
      <w:r>
        <w:rPr>
          <w:color w:val="000000"/>
        </w:rPr>
        <w:t xml:space="preserve"> </w:t>
      </w:r>
      <w:proofErr w:type="gramStart"/>
      <w:r w:rsidRPr="00343703">
        <w:rPr>
          <w:color w:val="000000"/>
        </w:rPr>
        <w:t>За  2024</w:t>
      </w:r>
      <w:proofErr w:type="gramEnd"/>
      <w:r w:rsidRPr="00343703">
        <w:rPr>
          <w:color w:val="000000"/>
        </w:rPr>
        <w:t xml:space="preserve"> года реализовано 1873 билета на сумму 454420 рублей.</w:t>
      </w:r>
      <w:r>
        <w:rPr>
          <w:color w:val="000000"/>
        </w:rPr>
        <w:t xml:space="preserve"> </w:t>
      </w:r>
      <w:r w:rsidRPr="00343703">
        <w:rPr>
          <w:color w:val="000000"/>
        </w:rPr>
        <w:t>План проданных билетов выполнен на 86%, по сумме продаж на 77%.</w:t>
      </w:r>
    </w:p>
    <w:p w:rsidR="00343703" w:rsidRPr="00343703" w:rsidRDefault="00343703" w:rsidP="00343703">
      <w:pPr>
        <w:pStyle w:val="a5"/>
        <w:spacing w:before="0" w:beforeAutospacing="0" w:after="0" w:afterAutospacing="0"/>
        <w:ind w:firstLine="708"/>
        <w:jc w:val="both"/>
      </w:pPr>
      <w:r w:rsidRPr="00343703">
        <w:rPr>
          <w:color w:val="000000"/>
        </w:rPr>
        <w:t>Проведено 41 мероприятие по пушкинской карте (</w:t>
      </w:r>
      <w:proofErr w:type="spellStart"/>
      <w:r w:rsidRPr="00343703">
        <w:rPr>
          <w:color w:val="000000"/>
        </w:rPr>
        <w:t>квартирники</w:t>
      </w:r>
      <w:proofErr w:type="spellEnd"/>
      <w:r w:rsidRPr="00343703">
        <w:rPr>
          <w:color w:val="000000"/>
        </w:rPr>
        <w:t xml:space="preserve">, концертные программы, мастер-классы, </w:t>
      </w:r>
      <w:proofErr w:type="spellStart"/>
      <w:r w:rsidRPr="00343703">
        <w:rPr>
          <w:color w:val="000000"/>
        </w:rPr>
        <w:t>квизы</w:t>
      </w:r>
      <w:proofErr w:type="spellEnd"/>
      <w:r w:rsidRPr="00343703">
        <w:rPr>
          <w:color w:val="000000"/>
        </w:rPr>
        <w:t>, арт-встречи, фестивали, спектакли и творческие встречи), до конца года запланировано проведение ещё семи мероприятий.</w:t>
      </w:r>
    </w:p>
    <w:p w:rsidR="00343703" w:rsidRPr="00343703" w:rsidRDefault="00343703" w:rsidP="00343703">
      <w:pPr>
        <w:pStyle w:val="a5"/>
        <w:spacing w:before="0" w:beforeAutospacing="0" w:after="0" w:afterAutospacing="0"/>
        <w:ind w:firstLine="708"/>
        <w:jc w:val="both"/>
      </w:pPr>
      <w:r w:rsidRPr="00343703">
        <w:rPr>
          <w:color w:val="000000"/>
        </w:rPr>
        <w:t>Мероприятия широко анонсируются в сети интернет на официальных страницах учреждения, чатах в мессенджерах, посредством рассылки писем на электронные почты образовательных учреждений и градообразующих предприятий. </w:t>
      </w:r>
    </w:p>
    <w:p w:rsidR="00343703" w:rsidRPr="00343703" w:rsidRDefault="00343703" w:rsidP="00343703">
      <w:pPr>
        <w:pStyle w:val="a5"/>
        <w:spacing w:before="0" w:beforeAutospacing="0" w:after="0" w:afterAutospacing="0"/>
        <w:ind w:firstLine="708"/>
        <w:jc w:val="both"/>
      </w:pPr>
      <w:r w:rsidRPr="00343703">
        <w:rPr>
          <w:color w:val="000000"/>
        </w:rPr>
        <w:lastRenderedPageBreak/>
        <w:t>На регулярной основе сотрудниками МАУК «КДЦ «Премьер» проводится коллективное и адресное консультирование о плюсах участия в программе Пушкинская карта, оказывается помощь в подключении и оформлении карты.</w:t>
      </w:r>
    </w:p>
    <w:p w:rsidR="0016781F" w:rsidRDefault="0016781F" w:rsidP="0016781F">
      <w:pPr>
        <w:pStyle w:val="a3"/>
        <w:tabs>
          <w:tab w:val="left" w:pos="1134"/>
        </w:tabs>
        <w:spacing w:after="0" w:line="240" w:lineRule="auto"/>
        <w:ind w:left="0" w:firstLine="567"/>
        <w:jc w:val="both"/>
        <w:rPr>
          <w:rFonts w:ascii="Times New Roman" w:hAnsi="Times New Roman" w:cs="Times New Roman"/>
          <w:sz w:val="24"/>
          <w:szCs w:val="24"/>
        </w:rPr>
      </w:pPr>
    </w:p>
    <w:p w:rsidR="00343703" w:rsidRDefault="00343703" w:rsidP="004E6E48">
      <w:pPr>
        <w:spacing w:after="0" w:line="240" w:lineRule="auto"/>
        <w:ind w:firstLine="567"/>
        <w:jc w:val="both"/>
        <w:rPr>
          <w:rFonts w:ascii="Times New Roman" w:hAnsi="Times New Roman" w:cs="Times New Roman"/>
          <w:sz w:val="24"/>
          <w:szCs w:val="24"/>
        </w:rPr>
      </w:pPr>
      <w:r w:rsidRPr="00343703">
        <w:rPr>
          <w:rFonts w:ascii="Times New Roman" w:hAnsi="Times New Roman" w:cs="Times New Roman"/>
          <w:b/>
          <w:sz w:val="24"/>
          <w:szCs w:val="24"/>
        </w:rPr>
        <w:t>Решили:</w:t>
      </w:r>
      <w:r>
        <w:rPr>
          <w:rFonts w:ascii="Times New Roman" w:hAnsi="Times New Roman" w:cs="Times New Roman"/>
          <w:sz w:val="24"/>
          <w:szCs w:val="24"/>
        </w:rPr>
        <w:t xml:space="preserve">  </w:t>
      </w:r>
    </w:p>
    <w:p w:rsidR="00343703" w:rsidRDefault="00343703" w:rsidP="004E6E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Информацию принять к сведению</w:t>
      </w:r>
    </w:p>
    <w:p w:rsidR="00343703" w:rsidRDefault="00343703" w:rsidP="004E6E48">
      <w:pPr>
        <w:spacing w:after="0" w:line="240" w:lineRule="auto"/>
        <w:ind w:firstLine="567"/>
        <w:jc w:val="both"/>
        <w:rPr>
          <w:rFonts w:ascii="Times New Roman" w:hAnsi="Times New Roman" w:cs="Times New Roman"/>
          <w:sz w:val="24"/>
          <w:szCs w:val="24"/>
        </w:rPr>
      </w:pPr>
    </w:p>
    <w:p w:rsidR="004E6E48" w:rsidRPr="00EC313D" w:rsidRDefault="00EC313D" w:rsidP="004E6E48">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4E6E48">
        <w:rPr>
          <w:rFonts w:ascii="Times New Roman" w:hAnsi="Times New Roman" w:cs="Times New Roman"/>
          <w:sz w:val="24"/>
          <w:szCs w:val="24"/>
        </w:rPr>
        <w:t>.</w:t>
      </w:r>
      <w:r w:rsidR="0016781F" w:rsidRPr="004E6E48">
        <w:rPr>
          <w:rFonts w:ascii="Times New Roman" w:hAnsi="Times New Roman" w:cs="Times New Roman"/>
          <w:sz w:val="24"/>
          <w:szCs w:val="24"/>
        </w:rPr>
        <w:t xml:space="preserve">По </w:t>
      </w:r>
      <w:r>
        <w:rPr>
          <w:rFonts w:ascii="Times New Roman" w:hAnsi="Times New Roman" w:cs="Times New Roman"/>
          <w:sz w:val="24"/>
          <w:szCs w:val="24"/>
        </w:rPr>
        <w:t>третьему</w:t>
      </w:r>
      <w:r w:rsidR="00343703">
        <w:rPr>
          <w:rFonts w:ascii="Times New Roman" w:hAnsi="Times New Roman" w:cs="Times New Roman"/>
          <w:sz w:val="24"/>
          <w:szCs w:val="24"/>
        </w:rPr>
        <w:t xml:space="preserve"> вопросу заседания выступила</w:t>
      </w:r>
      <w:r w:rsidR="0016781F" w:rsidRPr="004E6E48">
        <w:rPr>
          <w:rFonts w:ascii="Times New Roman" w:hAnsi="Times New Roman" w:cs="Times New Roman"/>
          <w:sz w:val="24"/>
          <w:szCs w:val="24"/>
        </w:rPr>
        <w:t xml:space="preserve"> </w:t>
      </w:r>
      <w:proofErr w:type="spellStart"/>
      <w:r w:rsidR="004E6E48" w:rsidRPr="00EC313D">
        <w:rPr>
          <w:rFonts w:ascii="Times New Roman" w:eastAsia="Times New Roman" w:hAnsi="Times New Roman" w:cs="Times New Roman"/>
          <w:sz w:val="24"/>
          <w:szCs w:val="24"/>
          <w:lang w:eastAsia="ru-RU"/>
        </w:rPr>
        <w:t>Микитюк</w:t>
      </w:r>
      <w:proofErr w:type="spellEnd"/>
      <w:r w:rsidRPr="00EC313D">
        <w:rPr>
          <w:rFonts w:ascii="Times New Roman" w:eastAsia="Times New Roman" w:hAnsi="Times New Roman" w:cs="Times New Roman"/>
          <w:sz w:val="24"/>
          <w:szCs w:val="24"/>
          <w:lang w:eastAsia="ru-RU"/>
        </w:rPr>
        <w:t xml:space="preserve"> Ирина Алексеевна</w:t>
      </w:r>
      <w:r w:rsidR="0016781F" w:rsidRPr="00EC313D">
        <w:rPr>
          <w:rFonts w:ascii="Times New Roman" w:eastAsia="Times New Roman" w:hAnsi="Times New Roman" w:cs="Times New Roman"/>
          <w:sz w:val="24"/>
          <w:szCs w:val="24"/>
          <w:lang w:eastAsia="ru-RU"/>
        </w:rPr>
        <w:t xml:space="preserve">- </w:t>
      </w:r>
      <w:r w:rsidRPr="00EC313D">
        <w:rPr>
          <w:rFonts w:ascii="Times New Roman" w:hAnsi="Times New Roman"/>
          <w:sz w:val="24"/>
          <w:szCs w:val="24"/>
        </w:rPr>
        <w:t xml:space="preserve">заместитель начальника финансово-экономического управления </w:t>
      </w:r>
      <w:r w:rsidR="0016781F" w:rsidRPr="00EC313D">
        <w:rPr>
          <w:rFonts w:ascii="Times New Roman" w:eastAsia="Times New Roman" w:hAnsi="Times New Roman" w:cs="Times New Roman"/>
          <w:sz w:val="24"/>
          <w:szCs w:val="24"/>
          <w:lang w:eastAsia="ru-RU"/>
        </w:rPr>
        <w:t>администрации городского поселения Федоровский:</w:t>
      </w:r>
      <w:r w:rsidR="004E6E48" w:rsidRPr="00EC313D">
        <w:rPr>
          <w:rFonts w:ascii="Times New Roman" w:eastAsia="Times New Roman" w:hAnsi="Times New Roman" w:cs="Times New Roman"/>
          <w:sz w:val="24"/>
          <w:szCs w:val="24"/>
          <w:lang w:eastAsia="ru-RU"/>
        </w:rPr>
        <w:t xml:space="preserve"> </w:t>
      </w:r>
    </w:p>
    <w:p w:rsidR="004E6E48" w:rsidRPr="004E6E48" w:rsidRDefault="004E6E48" w:rsidP="004E6E48">
      <w:pPr>
        <w:spacing w:after="0" w:line="240" w:lineRule="auto"/>
        <w:ind w:firstLine="567"/>
        <w:jc w:val="both"/>
        <w:rPr>
          <w:rFonts w:ascii="Times New Roman" w:hAnsi="Times New Roman" w:cs="Times New Roman"/>
          <w:sz w:val="24"/>
          <w:szCs w:val="24"/>
        </w:rPr>
      </w:pPr>
      <w:r w:rsidRPr="00EC313D">
        <w:rPr>
          <w:rFonts w:ascii="Times New Roman" w:hAnsi="Times New Roman"/>
          <w:sz w:val="24"/>
          <w:szCs w:val="24"/>
        </w:rPr>
        <w:t xml:space="preserve">Развитию предпринимательского сообщества уделяется большое внимание </w:t>
      </w:r>
      <w:r w:rsidRPr="004E6E48">
        <w:rPr>
          <w:rFonts w:ascii="Times New Roman" w:hAnsi="Times New Roman"/>
          <w:sz w:val="24"/>
          <w:szCs w:val="24"/>
        </w:rPr>
        <w:t>Президентом и Правительством Российской Федерации. Федеральным законом от 24.07.2007 №209-ФЗ «О развитии малого и среднего предпринимательства в Российской Федерации» определены меры поддержки субъектов малого и среднего предпринимательства:</w:t>
      </w:r>
    </w:p>
    <w:p w:rsidR="004E6E48" w:rsidRPr="004E6E48" w:rsidRDefault="004E6E48" w:rsidP="004E6E48">
      <w:pPr>
        <w:pStyle w:val="a3"/>
        <w:spacing w:after="0" w:line="240" w:lineRule="auto"/>
        <w:ind w:left="0" w:firstLine="567"/>
        <w:jc w:val="both"/>
        <w:rPr>
          <w:rFonts w:ascii="Times New Roman" w:hAnsi="Times New Roman"/>
          <w:sz w:val="24"/>
          <w:szCs w:val="24"/>
        </w:rPr>
      </w:pPr>
      <w:r w:rsidRPr="004E6E48">
        <w:rPr>
          <w:rFonts w:ascii="Times New Roman" w:hAnsi="Times New Roman"/>
          <w:sz w:val="24"/>
          <w:szCs w:val="24"/>
        </w:rPr>
        <w:t>- финансовая поддержка;</w:t>
      </w:r>
    </w:p>
    <w:p w:rsidR="004E6E48" w:rsidRPr="004E6E48" w:rsidRDefault="004E6E48" w:rsidP="004E6E48">
      <w:pPr>
        <w:pStyle w:val="a3"/>
        <w:spacing w:after="0" w:line="240" w:lineRule="auto"/>
        <w:ind w:left="0" w:firstLine="567"/>
        <w:jc w:val="both"/>
        <w:rPr>
          <w:rFonts w:ascii="Times New Roman" w:hAnsi="Times New Roman"/>
          <w:sz w:val="24"/>
          <w:szCs w:val="24"/>
        </w:rPr>
      </w:pPr>
      <w:r w:rsidRPr="004E6E48">
        <w:rPr>
          <w:rFonts w:ascii="Times New Roman" w:hAnsi="Times New Roman"/>
          <w:sz w:val="24"/>
          <w:szCs w:val="24"/>
        </w:rPr>
        <w:t>- информационная поддержка;</w:t>
      </w:r>
    </w:p>
    <w:p w:rsidR="004E6E48" w:rsidRPr="004E6E48" w:rsidRDefault="004E6E48" w:rsidP="004E6E48">
      <w:pPr>
        <w:pStyle w:val="a3"/>
        <w:spacing w:after="0" w:line="240" w:lineRule="auto"/>
        <w:ind w:left="0" w:firstLine="567"/>
        <w:jc w:val="both"/>
        <w:rPr>
          <w:rFonts w:ascii="Times New Roman" w:hAnsi="Times New Roman"/>
          <w:sz w:val="24"/>
          <w:szCs w:val="24"/>
        </w:rPr>
      </w:pPr>
      <w:r w:rsidRPr="004E6E48">
        <w:rPr>
          <w:rFonts w:ascii="Times New Roman" w:hAnsi="Times New Roman"/>
          <w:sz w:val="24"/>
          <w:szCs w:val="24"/>
        </w:rPr>
        <w:t>- имущественная поддержка.</w:t>
      </w:r>
    </w:p>
    <w:p w:rsidR="004E6E48" w:rsidRDefault="004E6E48" w:rsidP="004E6E48">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В а</w:t>
      </w:r>
      <w:r w:rsidRPr="004E6E48">
        <w:rPr>
          <w:rFonts w:ascii="Times New Roman" w:hAnsi="Times New Roman"/>
          <w:sz w:val="24"/>
          <w:szCs w:val="24"/>
        </w:rPr>
        <w:t>дминистрации Сургутского района</w:t>
      </w:r>
      <w:r>
        <w:rPr>
          <w:rFonts w:ascii="Times New Roman" w:hAnsi="Times New Roman"/>
          <w:sz w:val="24"/>
          <w:szCs w:val="24"/>
        </w:rPr>
        <w:t>, а также в администрации городского поселения Федоровский</w:t>
      </w:r>
      <w:r w:rsidRPr="004E6E48">
        <w:rPr>
          <w:rFonts w:ascii="Times New Roman" w:hAnsi="Times New Roman"/>
          <w:sz w:val="24"/>
          <w:szCs w:val="24"/>
        </w:rPr>
        <w:t xml:space="preserve"> предусмотрены меры финансовой поддержки для субъектов малого и среднего предпринимательства состоящих на налоговом учете и осуществляющих деятельность на территории Сургу</w:t>
      </w:r>
      <w:r>
        <w:rPr>
          <w:rFonts w:ascii="Times New Roman" w:hAnsi="Times New Roman"/>
          <w:sz w:val="24"/>
          <w:szCs w:val="24"/>
        </w:rPr>
        <w:t xml:space="preserve">тского района. </w:t>
      </w:r>
    </w:p>
    <w:p w:rsidR="004E6E48" w:rsidRPr="004E6E48" w:rsidRDefault="004E6E48" w:rsidP="004E6E48">
      <w:pPr>
        <w:spacing w:after="0" w:line="240" w:lineRule="auto"/>
        <w:jc w:val="both"/>
        <w:rPr>
          <w:rFonts w:ascii="Times New Roman" w:eastAsiaTheme="minorEastAsia" w:hAnsi="Times New Roman" w:cs="Arial"/>
          <w:color w:val="FFFFFF" w:themeColor="background1"/>
          <w:kern w:val="24"/>
          <w:sz w:val="24"/>
          <w:szCs w:val="24"/>
          <w:lang w:eastAsia="ru-RU"/>
        </w:rPr>
      </w:pPr>
      <w:r>
        <w:rPr>
          <w:rFonts w:ascii="Times New Roman" w:eastAsiaTheme="minorEastAsia" w:hAnsi="Times New Roman" w:cs="Arial"/>
          <w:kern w:val="24"/>
          <w:sz w:val="24"/>
          <w:szCs w:val="24"/>
          <w:lang w:eastAsia="ru-RU"/>
        </w:rPr>
        <w:t xml:space="preserve">     </w:t>
      </w:r>
      <w:r w:rsidR="00EC313D">
        <w:rPr>
          <w:rFonts w:ascii="Times New Roman" w:eastAsiaTheme="minorEastAsia" w:hAnsi="Times New Roman" w:cs="Arial"/>
          <w:kern w:val="24"/>
          <w:sz w:val="24"/>
          <w:szCs w:val="24"/>
          <w:lang w:eastAsia="ru-RU"/>
        </w:rPr>
        <w:t xml:space="preserve">  </w:t>
      </w:r>
      <w:r>
        <w:rPr>
          <w:rFonts w:ascii="Times New Roman" w:eastAsiaTheme="minorEastAsia" w:hAnsi="Times New Roman" w:cs="Arial"/>
          <w:kern w:val="24"/>
          <w:sz w:val="24"/>
          <w:szCs w:val="24"/>
          <w:lang w:eastAsia="ru-RU"/>
        </w:rPr>
        <w:t xml:space="preserve"> </w:t>
      </w:r>
      <w:r w:rsidRPr="004E6E48">
        <w:rPr>
          <w:rFonts w:ascii="Times New Roman" w:eastAsiaTheme="minorEastAsia" w:hAnsi="Times New Roman" w:cs="Arial"/>
          <w:kern w:val="24"/>
          <w:sz w:val="24"/>
          <w:szCs w:val="24"/>
          <w:lang w:eastAsia="ru-RU"/>
        </w:rPr>
        <w:t>В рамках основного мероприятия подпрограммы «Оказание финансовой поддержки субъектам малого и среднего предпринимательства» муниципальной программы городского поселения Федоровский «Создание условий для экономического развития городское поселение Федоровский» предоставлены субсидии:</w:t>
      </w:r>
    </w:p>
    <w:tbl>
      <w:tblPr>
        <w:tblStyle w:val="a4"/>
        <w:tblW w:w="10595" w:type="dxa"/>
        <w:tblInd w:w="-998" w:type="dxa"/>
        <w:tblLook w:val="04A0" w:firstRow="1" w:lastRow="0" w:firstColumn="1" w:lastColumn="0" w:noHBand="0" w:noVBand="1"/>
      </w:tblPr>
      <w:tblGrid>
        <w:gridCol w:w="3970"/>
        <w:gridCol w:w="1418"/>
        <w:gridCol w:w="1314"/>
        <w:gridCol w:w="1351"/>
        <w:gridCol w:w="1130"/>
        <w:gridCol w:w="1412"/>
      </w:tblGrid>
      <w:tr w:rsidR="004E6E48" w:rsidRPr="004E6E48" w:rsidTr="004E6E48">
        <w:tc>
          <w:tcPr>
            <w:tcW w:w="3970" w:type="dxa"/>
          </w:tcPr>
          <w:p w:rsidR="004E6E48" w:rsidRPr="004E6E48" w:rsidRDefault="004E6E48" w:rsidP="00AB17BC">
            <w:pPr>
              <w:kinsoku w:val="0"/>
              <w:overflowPunct w:val="0"/>
              <w:spacing w:line="240" w:lineRule="auto"/>
              <w:jc w:val="both"/>
              <w:textAlignment w:val="baseline"/>
              <w:rPr>
                <w:rFonts w:eastAsiaTheme="minorEastAsia" w:cs="Arial"/>
                <w:kern w:val="24"/>
                <w:sz w:val="24"/>
                <w:szCs w:val="24"/>
              </w:rPr>
            </w:pPr>
          </w:p>
        </w:tc>
        <w:tc>
          <w:tcPr>
            <w:tcW w:w="1418"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2019 год</w:t>
            </w:r>
          </w:p>
        </w:tc>
        <w:tc>
          <w:tcPr>
            <w:tcW w:w="1314"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2020 год</w:t>
            </w:r>
          </w:p>
        </w:tc>
        <w:tc>
          <w:tcPr>
            <w:tcW w:w="1351"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2021 год</w:t>
            </w:r>
          </w:p>
        </w:tc>
        <w:tc>
          <w:tcPr>
            <w:tcW w:w="1130"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2022год</w:t>
            </w:r>
          </w:p>
        </w:tc>
        <w:tc>
          <w:tcPr>
            <w:tcW w:w="1412"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2023 год</w:t>
            </w:r>
          </w:p>
        </w:tc>
      </w:tr>
      <w:tr w:rsidR="004E6E48" w:rsidRPr="004E6E48" w:rsidTr="004E6E48">
        <w:tc>
          <w:tcPr>
            <w:tcW w:w="3970" w:type="dxa"/>
          </w:tcPr>
          <w:p w:rsidR="004E6E48" w:rsidRPr="004E6E48" w:rsidRDefault="004E6E48" w:rsidP="00AB17BC">
            <w:pPr>
              <w:kinsoku w:val="0"/>
              <w:overflowPunct w:val="0"/>
              <w:spacing w:line="240" w:lineRule="auto"/>
              <w:jc w:val="both"/>
              <w:textAlignment w:val="baseline"/>
              <w:rPr>
                <w:rFonts w:eastAsiaTheme="minorEastAsia" w:cs="Arial"/>
                <w:kern w:val="24"/>
                <w:sz w:val="24"/>
                <w:szCs w:val="24"/>
              </w:rPr>
            </w:pPr>
            <w:r w:rsidRPr="004E6E48">
              <w:rPr>
                <w:rFonts w:eastAsiaTheme="minorEastAsia" w:cs="Arial"/>
                <w:kern w:val="24"/>
                <w:sz w:val="24"/>
                <w:szCs w:val="24"/>
              </w:rPr>
              <w:t>Возмещение части затрат по приобретению нового оборудования (основных средств) и лицензионных программных продуктов, руб.</w:t>
            </w:r>
          </w:p>
        </w:tc>
        <w:tc>
          <w:tcPr>
            <w:tcW w:w="1418"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7500,00</w:t>
            </w:r>
          </w:p>
        </w:tc>
        <w:tc>
          <w:tcPr>
            <w:tcW w:w="1314"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18899,00</w:t>
            </w:r>
          </w:p>
        </w:tc>
        <w:tc>
          <w:tcPr>
            <w:tcW w:w="1351"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20000,00</w:t>
            </w: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textAlignment w:val="baseline"/>
              <w:rPr>
                <w:rFonts w:eastAsiaTheme="minorEastAsia" w:cs="Arial"/>
                <w:kern w:val="24"/>
                <w:sz w:val="24"/>
                <w:szCs w:val="24"/>
              </w:rPr>
            </w:pPr>
          </w:p>
        </w:tc>
        <w:tc>
          <w:tcPr>
            <w:tcW w:w="1130"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20000,00</w:t>
            </w:r>
          </w:p>
        </w:tc>
        <w:tc>
          <w:tcPr>
            <w:tcW w:w="1412" w:type="dxa"/>
          </w:tcPr>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p>
          <w:p w:rsidR="004E6E48" w:rsidRPr="004E6E48" w:rsidRDefault="004E6E48" w:rsidP="00AB17BC">
            <w:pPr>
              <w:kinsoku w:val="0"/>
              <w:overflowPunct w:val="0"/>
              <w:spacing w:line="240" w:lineRule="auto"/>
              <w:jc w:val="center"/>
              <w:textAlignment w:val="baseline"/>
              <w:rPr>
                <w:rFonts w:eastAsiaTheme="minorEastAsia" w:cs="Arial"/>
                <w:kern w:val="24"/>
                <w:sz w:val="24"/>
                <w:szCs w:val="24"/>
              </w:rPr>
            </w:pPr>
            <w:r w:rsidRPr="004E6E48">
              <w:rPr>
                <w:rFonts w:eastAsiaTheme="minorEastAsia" w:cs="Arial"/>
                <w:kern w:val="24"/>
                <w:sz w:val="24"/>
                <w:szCs w:val="24"/>
              </w:rPr>
              <w:t>20000,00</w:t>
            </w:r>
          </w:p>
        </w:tc>
      </w:tr>
    </w:tbl>
    <w:p w:rsidR="004E6E48" w:rsidRPr="00F81BB2" w:rsidRDefault="004E6E48" w:rsidP="00F81BB2">
      <w:pPr>
        <w:spacing w:after="0" w:line="240" w:lineRule="auto"/>
        <w:jc w:val="both"/>
        <w:rPr>
          <w:rFonts w:ascii="Times New Roman" w:hAnsi="Times New Roman" w:cs="Times New Roman"/>
          <w:b/>
          <w:sz w:val="24"/>
          <w:szCs w:val="24"/>
        </w:rPr>
      </w:pPr>
      <w:r w:rsidRPr="00EC313D">
        <w:rPr>
          <w:rFonts w:ascii="Times New Roman" w:hAnsi="Times New Roman" w:cs="Times New Roman"/>
          <w:b/>
          <w:sz w:val="24"/>
          <w:szCs w:val="24"/>
        </w:rPr>
        <w:t xml:space="preserve">        </w:t>
      </w:r>
      <w:r w:rsidRPr="00EC313D">
        <w:rPr>
          <w:rFonts w:ascii="Times New Roman" w:hAnsi="Times New Roman" w:cs="Times New Roman"/>
          <w:sz w:val="24"/>
          <w:szCs w:val="24"/>
        </w:rPr>
        <w:t>Муниципальное имущество, включенное в Перечень, предоставляется в аренду субъектам малого и среднего предпринимательства, в том числе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w:t>
      </w:r>
      <w:r w:rsidR="00EC313D">
        <w:rPr>
          <w:rFonts w:ascii="Times New Roman" w:hAnsi="Times New Roman" w:cs="Times New Roman"/>
          <w:sz w:val="24"/>
          <w:szCs w:val="24"/>
        </w:rPr>
        <w:t>алог на профессиональный доход"</w:t>
      </w:r>
      <w:r w:rsidRPr="00EC313D">
        <w:rPr>
          <w:rFonts w:ascii="Times New Roman" w:hAnsi="Times New Roman" w:cs="Times New Roman"/>
          <w:sz w:val="24"/>
          <w:szCs w:val="24"/>
        </w:rPr>
        <w:t>.</w:t>
      </w:r>
    </w:p>
    <w:p w:rsidR="004E6E48" w:rsidRPr="004E6E48" w:rsidRDefault="004E6E48" w:rsidP="004E6E48">
      <w:pPr>
        <w:spacing w:after="0" w:line="240" w:lineRule="auto"/>
        <w:jc w:val="center"/>
        <w:rPr>
          <w:rFonts w:ascii="Times New Roman" w:hAnsi="Times New Roman"/>
          <w:sz w:val="24"/>
          <w:szCs w:val="24"/>
        </w:rPr>
      </w:pPr>
      <w:r w:rsidRPr="004E6E48">
        <w:rPr>
          <w:rFonts w:ascii="Times New Roman" w:hAnsi="Times New Roman"/>
          <w:sz w:val="24"/>
          <w:szCs w:val="24"/>
        </w:rPr>
        <w:t xml:space="preserve">Количество СМП (с учетом </w:t>
      </w:r>
      <w:proofErr w:type="spellStart"/>
      <w:r w:rsidRPr="004E6E48">
        <w:rPr>
          <w:rFonts w:ascii="Times New Roman" w:hAnsi="Times New Roman"/>
          <w:sz w:val="24"/>
          <w:szCs w:val="24"/>
        </w:rPr>
        <w:t>самозанятых</w:t>
      </w:r>
      <w:proofErr w:type="spellEnd"/>
      <w:r w:rsidRPr="004E6E48">
        <w:rPr>
          <w:rFonts w:ascii="Times New Roman" w:hAnsi="Times New Roman"/>
          <w:sz w:val="24"/>
          <w:szCs w:val="24"/>
        </w:rPr>
        <w:t xml:space="preserve">) </w:t>
      </w:r>
      <w:proofErr w:type="gramStart"/>
      <w:r w:rsidRPr="004E6E48">
        <w:rPr>
          <w:rFonts w:ascii="Times New Roman" w:hAnsi="Times New Roman"/>
          <w:sz w:val="24"/>
          <w:szCs w:val="24"/>
        </w:rPr>
        <w:t xml:space="preserve">в  </w:t>
      </w:r>
      <w:proofErr w:type="spellStart"/>
      <w:r w:rsidRPr="004E6E48">
        <w:rPr>
          <w:rFonts w:ascii="Times New Roman" w:hAnsi="Times New Roman"/>
          <w:sz w:val="24"/>
          <w:szCs w:val="24"/>
        </w:rPr>
        <w:t>гп.Федоровский</w:t>
      </w:r>
      <w:proofErr w:type="spellEnd"/>
      <w:proofErr w:type="gramEnd"/>
    </w:p>
    <w:p w:rsidR="004E6E48" w:rsidRPr="004E6E48" w:rsidRDefault="004E6E48" w:rsidP="004E6E48">
      <w:pPr>
        <w:spacing w:after="0" w:line="240" w:lineRule="auto"/>
        <w:jc w:val="center"/>
        <w:rPr>
          <w:rFonts w:ascii="Times New Roman" w:hAnsi="Times New Roman"/>
          <w:sz w:val="24"/>
          <w:szCs w:val="24"/>
        </w:rPr>
      </w:pPr>
    </w:p>
    <w:tbl>
      <w:tblPr>
        <w:tblW w:w="99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1"/>
        <w:gridCol w:w="2925"/>
        <w:gridCol w:w="2263"/>
        <w:gridCol w:w="2929"/>
      </w:tblGrid>
      <w:tr w:rsidR="004E6E48" w:rsidRPr="004E6E48" w:rsidTr="004E6E48">
        <w:trPr>
          <w:trHeight w:val="584"/>
        </w:trPr>
        <w:tc>
          <w:tcPr>
            <w:tcW w:w="1838"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год</w:t>
            </w:r>
          </w:p>
        </w:tc>
        <w:tc>
          <w:tcPr>
            <w:tcW w:w="2982"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ИП, ЮЛ</w:t>
            </w:r>
          </w:p>
        </w:tc>
        <w:tc>
          <w:tcPr>
            <w:tcW w:w="2127"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proofErr w:type="spellStart"/>
            <w:r w:rsidRPr="004E6E48">
              <w:rPr>
                <w:rFonts w:ascii="Times New Roman" w:hAnsi="Times New Roman"/>
                <w:bCs/>
                <w:sz w:val="24"/>
                <w:szCs w:val="24"/>
              </w:rPr>
              <w:t>самозанятые</w:t>
            </w:r>
            <w:proofErr w:type="spellEnd"/>
            <w:r w:rsidRPr="004E6E48">
              <w:rPr>
                <w:rFonts w:ascii="Times New Roman" w:hAnsi="Times New Roman"/>
                <w:bCs/>
                <w:sz w:val="24"/>
                <w:szCs w:val="24"/>
              </w:rPr>
              <w:t>, применяющие налог на профессиональный доход</w:t>
            </w:r>
          </w:p>
        </w:tc>
        <w:tc>
          <w:tcPr>
            <w:tcW w:w="2981"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Итого</w:t>
            </w:r>
          </w:p>
        </w:tc>
      </w:tr>
      <w:tr w:rsidR="004E6E48" w:rsidRPr="004E6E48" w:rsidTr="004E6E48">
        <w:trPr>
          <w:trHeight w:val="282"/>
        </w:trPr>
        <w:tc>
          <w:tcPr>
            <w:tcW w:w="1838"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2019</w:t>
            </w:r>
          </w:p>
        </w:tc>
        <w:tc>
          <w:tcPr>
            <w:tcW w:w="2982"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380</w:t>
            </w:r>
          </w:p>
        </w:tc>
        <w:tc>
          <w:tcPr>
            <w:tcW w:w="2127"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w:t>
            </w:r>
          </w:p>
        </w:tc>
        <w:tc>
          <w:tcPr>
            <w:tcW w:w="2981"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380</w:t>
            </w:r>
          </w:p>
        </w:tc>
      </w:tr>
      <w:tr w:rsidR="004E6E48" w:rsidRPr="004E6E48" w:rsidTr="004E6E48">
        <w:trPr>
          <w:trHeight w:val="303"/>
        </w:trPr>
        <w:tc>
          <w:tcPr>
            <w:tcW w:w="1838"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2020</w:t>
            </w:r>
          </w:p>
        </w:tc>
        <w:tc>
          <w:tcPr>
            <w:tcW w:w="2982"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370</w:t>
            </w:r>
          </w:p>
        </w:tc>
        <w:tc>
          <w:tcPr>
            <w:tcW w:w="2127"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192</w:t>
            </w:r>
          </w:p>
        </w:tc>
        <w:tc>
          <w:tcPr>
            <w:tcW w:w="2981"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562</w:t>
            </w:r>
          </w:p>
        </w:tc>
      </w:tr>
      <w:tr w:rsidR="004E6E48" w:rsidRPr="004E6E48" w:rsidTr="004E6E48">
        <w:trPr>
          <w:trHeight w:val="223"/>
        </w:trPr>
        <w:tc>
          <w:tcPr>
            <w:tcW w:w="1838"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2021</w:t>
            </w:r>
          </w:p>
        </w:tc>
        <w:tc>
          <w:tcPr>
            <w:tcW w:w="2982"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372</w:t>
            </w:r>
          </w:p>
        </w:tc>
        <w:tc>
          <w:tcPr>
            <w:tcW w:w="2127"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544</w:t>
            </w:r>
          </w:p>
        </w:tc>
        <w:tc>
          <w:tcPr>
            <w:tcW w:w="2981" w:type="dxa"/>
            <w:shd w:val="clear" w:color="auto" w:fill="FBFCFE"/>
            <w:tcMar>
              <w:top w:w="72" w:type="dxa"/>
              <w:left w:w="144" w:type="dxa"/>
              <w:bottom w:w="72" w:type="dxa"/>
              <w:right w:w="144" w:type="dxa"/>
            </w:tcMar>
            <w:hideMark/>
          </w:tcPr>
          <w:p w:rsidR="004E6E48" w:rsidRPr="004E6E48" w:rsidRDefault="004E6E48" w:rsidP="00AB17BC">
            <w:pPr>
              <w:spacing w:after="0" w:line="240" w:lineRule="auto"/>
              <w:jc w:val="center"/>
              <w:rPr>
                <w:rFonts w:ascii="Times New Roman" w:hAnsi="Times New Roman"/>
                <w:sz w:val="24"/>
                <w:szCs w:val="24"/>
              </w:rPr>
            </w:pPr>
            <w:r w:rsidRPr="004E6E48">
              <w:rPr>
                <w:rFonts w:ascii="Times New Roman" w:hAnsi="Times New Roman"/>
                <w:bCs/>
                <w:sz w:val="24"/>
                <w:szCs w:val="24"/>
              </w:rPr>
              <w:t>916</w:t>
            </w:r>
          </w:p>
        </w:tc>
      </w:tr>
      <w:tr w:rsidR="004E6E48" w:rsidRPr="004E6E48" w:rsidTr="004E6E48">
        <w:trPr>
          <w:trHeight w:val="223"/>
        </w:trPr>
        <w:tc>
          <w:tcPr>
            <w:tcW w:w="1838"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lastRenderedPageBreak/>
              <w:t>2022</w:t>
            </w:r>
          </w:p>
        </w:tc>
        <w:tc>
          <w:tcPr>
            <w:tcW w:w="2982"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358</w:t>
            </w:r>
          </w:p>
        </w:tc>
        <w:tc>
          <w:tcPr>
            <w:tcW w:w="2127"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831</w:t>
            </w:r>
          </w:p>
        </w:tc>
        <w:tc>
          <w:tcPr>
            <w:tcW w:w="2981"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1189</w:t>
            </w:r>
          </w:p>
        </w:tc>
      </w:tr>
      <w:tr w:rsidR="004E6E48" w:rsidRPr="004E6E48" w:rsidTr="004E6E48">
        <w:trPr>
          <w:trHeight w:val="223"/>
        </w:trPr>
        <w:tc>
          <w:tcPr>
            <w:tcW w:w="1838"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2023</w:t>
            </w:r>
          </w:p>
        </w:tc>
        <w:tc>
          <w:tcPr>
            <w:tcW w:w="2982"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405</w:t>
            </w:r>
          </w:p>
        </w:tc>
        <w:tc>
          <w:tcPr>
            <w:tcW w:w="2127"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1238</w:t>
            </w:r>
          </w:p>
        </w:tc>
        <w:tc>
          <w:tcPr>
            <w:tcW w:w="2981"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1643</w:t>
            </w:r>
          </w:p>
        </w:tc>
      </w:tr>
      <w:tr w:rsidR="004E6E48" w:rsidRPr="004E6E48" w:rsidTr="004E6E48">
        <w:trPr>
          <w:trHeight w:val="223"/>
        </w:trPr>
        <w:tc>
          <w:tcPr>
            <w:tcW w:w="1838"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2024</w:t>
            </w:r>
          </w:p>
        </w:tc>
        <w:tc>
          <w:tcPr>
            <w:tcW w:w="2982"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425</w:t>
            </w:r>
          </w:p>
        </w:tc>
        <w:tc>
          <w:tcPr>
            <w:tcW w:w="2127"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1426</w:t>
            </w:r>
          </w:p>
        </w:tc>
        <w:tc>
          <w:tcPr>
            <w:tcW w:w="2981" w:type="dxa"/>
            <w:shd w:val="clear" w:color="auto" w:fill="FBFCFE"/>
            <w:tcMar>
              <w:top w:w="72" w:type="dxa"/>
              <w:left w:w="144" w:type="dxa"/>
              <w:bottom w:w="72" w:type="dxa"/>
              <w:right w:w="144" w:type="dxa"/>
            </w:tcMar>
          </w:tcPr>
          <w:p w:rsidR="004E6E48" w:rsidRPr="004E6E48" w:rsidRDefault="004E6E48" w:rsidP="00AB17BC">
            <w:pPr>
              <w:spacing w:after="0" w:line="240" w:lineRule="auto"/>
              <w:jc w:val="center"/>
              <w:rPr>
                <w:rFonts w:ascii="Times New Roman" w:hAnsi="Times New Roman"/>
                <w:bCs/>
                <w:sz w:val="24"/>
                <w:szCs w:val="24"/>
              </w:rPr>
            </w:pPr>
            <w:r w:rsidRPr="004E6E48">
              <w:rPr>
                <w:rFonts w:ascii="Times New Roman" w:hAnsi="Times New Roman"/>
                <w:bCs/>
                <w:sz w:val="24"/>
                <w:szCs w:val="24"/>
              </w:rPr>
              <w:t>1851</w:t>
            </w:r>
          </w:p>
        </w:tc>
      </w:tr>
    </w:tbl>
    <w:p w:rsidR="004E6E48" w:rsidRPr="004E6E48" w:rsidRDefault="004E6E48" w:rsidP="004E6E48">
      <w:pPr>
        <w:spacing w:after="0" w:line="240" w:lineRule="auto"/>
        <w:jc w:val="both"/>
        <w:rPr>
          <w:rFonts w:ascii="Times New Roman" w:hAnsi="Times New Roman"/>
          <w:sz w:val="28"/>
          <w:szCs w:val="28"/>
        </w:rPr>
      </w:pPr>
    </w:p>
    <w:p w:rsidR="0016781F" w:rsidRDefault="0016781F" w:rsidP="00EC313D">
      <w:pPr>
        <w:pStyle w:val="a3"/>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Решили:</w:t>
      </w:r>
    </w:p>
    <w:p w:rsidR="0016781F" w:rsidRPr="00F81BB2" w:rsidRDefault="0016781F" w:rsidP="00F81BB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информацию к сведению.</w:t>
      </w:r>
    </w:p>
    <w:p w:rsidR="00EC313D" w:rsidRPr="00EC313D" w:rsidRDefault="00EC313D" w:rsidP="00EC313D">
      <w:pPr>
        <w:pStyle w:val="a3"/>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EC313D">
        <w:rPr>
          <w:rFonts w:ascii="Times New Roman" w:eastAsia="Times New Roman" w:hAnsi="Times New Roman" w:cs="Times New Roman"/>
          <w:sz w:val="24"/>
          <w:szCs w:val="24"/>
          <w:lang w:eastAsia="ru-RU"/>
        </w:rPr>
        <w:t>По четвертому вопросу выступила Сафронова Марина Анатольевна-заместитель главы городского поселения Федоровский</w:t>
      </w:r>
      <w:r>
        <w:rPr>
          <w:rFonts w:ascii="Times New Roman" w:eastAsia="Times New Roman" w:hAnsi="Times New Roman" w:cs="Times New Roman"/>
          <w:sz w:val="24"/>
          <w:szCs w:val="24"/>
          <w:lang w:eastAsia="ru-RU"/>
        </w:rPr>
        <w:t xml:space="preserve">: </w:t>
      </w:r>
    </w:p>
    <w:p w:rsidR="00EC313D" w:rsidRPr="00F81BB2" w:rsidRDefault="00EC313D" w:rsidP="00F81BB2">
      <w:pPr>
        <w:pStyle w:val="a3"/>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юбилейной датой городского поселения Федоровский от учреждений поселения направлены кандидатуры</w:t>
      </w:r>
      <w:r w:rsidR="004F4C1B">
        <w:rPr>
          <w:rFonts w:ascii="Times New Roman" w:eastAsia="Times New Roman" w:hAnsi="Times New Roman" w:cs="Times New Roman"/>
          <w:sz w:val="24"/>
          <w:szCs w:val="24"/>
          <w:lang w:eastAsia="ru-RU"/>
        </w:rPr>
        <w:t xml:space="preserve"> к выдвижению на награждение </w:t>
      </w:r>
      <w:r w:rsidR="004F4C1B" w:rsidRPr="0016781F">
        <w:rPr>
          <w:rFonts w:ascii="Times New Roman" w:eastAsia="Times New Roman" w:hAnsi="Times New Roman" w:cs="Times New Roman"/>
          <w:sz w:val="24"/>
          <w:szCs w:val="24"/>
          <w:lang w:eastAsia="ru-RU"/>
        </w:rPr>
        <w:t>от Общественного совета в рамках празднования 40-летия городского поселения Федоровский.</w:t>
      </w:r>
    </w:p>
    <w:p w:rsidR="0016781F" w:rsidRDefault="0016781F" w:rsidP="004F4C1B">
      <w:pPr>
        <w:pStyle w:val="a3"/>
        <w:spacing w:after="0"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Решили: </w:t>
      </w:r>
    </w:p>
    <w:p w:rsidR="0016781F" w:rsidRDefault="0016781F" w:rsidP="004F4C1B">
      <w:pPr>
        <w:pStyle w:val="a3"/>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информацию к сведению.</w:t>
      </w:r>
      <w:r w:rsidR="00EC313D" w:rsidRPr="00EC313D">
        <w:rPr>
          <w:rFonts w:ascii="Times New Roman" w:eastAsia="Times New Roman" w:hAnsi="Times New Roman" w:cs="Times New Roman"/>
          <w:sz w:val="24"/>
          <w:szCs w:val="24"/>
          <w:lang w:eastAsia="ru-RU"/>
        </w:rPr>
        <w:t xml:space="preserve"> </w:t>
      </w:r>
      <w:bookmarkStart w:id="0" w:name="_GoBack"/>
      <w:bookmarkEnd w:id="0"/>
    </w:p>
    <w:p w:rsidR="0016781F" w:rsidRDefault="0016781F" w:rsidP="004F4C1B">
      <w:pPr>
        <w:pStyle w:val="a3"/>
        <w:spacing w:after="0" w:line="240" w:lineRule="auto"/>
        <w:ind w:left="0"/>
        <w:jc w:val="both"/>
        <w:rPr>
          <w:rFonts w:ascii="Times New Roman" w:eastAsia="Times New Roman" w:hAnsi="Times New Roman" w:cs="Times New Roman"/>
          <w:sz w:val="24"/>
          <w:szCs w:val="24"/>
          <w:lang w:eastAsia="ru-RU"/>
        </w:rPr>
      </w:pPr>
    </w:p>
    <w:p w:rsidR="0016781F" w:rsidRDefault="0016781F" w:rsidP="0016781F">
      <w:pPr>
        <w:pStyle w:val="a3"/>
        <w:spacing w:after="0" w:line="240" w:lineRule="auto"/>
        <w:ind w:left="0" w:firstLine="567"/>
        <w:jc w:val="both"/>
        <w:rPr>
          <w:rFonts w:ascii="Times New Roman" w:hAnsi="Times New Roman" w:cs="Times New Roman"/>
          <w:sz w:val="24"/>
          <w:szCs w:val="24"/>
        </w:rPr>
      </w:pPr>
    </w:p>
    <w:p w:rsidR="0016781F" w:rsidRDefault="004F4C1B" w:rsidP="0016781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6781F">
        <w:rPr>
          <w:rFonts w:ascii="Times New Roman" w:hAnsi="Times New Roman" w:cs="Times New Roman"/>
          <w:sz w:val="24"/>
          <w:szCs w:val="24"/>
        </w:rPr>
        <w:t>С.В. Капитонов</w:t>
      </w:r>
    </w:p>
    <w:p w:rsidR="0016781F" w:rsidRDefault="0016781F" w:rsidP="0016781F">
      <w:pPr>
        <w:pStyle w:val="a3"/>
        <w:spacing w:after="0" w:line="240" w:lineRule="auto"/>
        <w:ind w:left="0"/>
        <w:jc w:val="both"/>
        <w:rPr>
          <w:rFonts w:ascii="Times New Roman" w:hAnsi="Times New Roman" w:cs="Times New Roman"/>
          <w:sz w:val="24"/>
          <w:szCs w:val="24"/>
        </w:rPr>
      </w:pPr>
    </w:p>
    <w:p w:rsidR="0016781F" w:rsidRDefault="0016781F" w:rsidP="0016781F">
      <w:pPr>
        <w:pStyle w:val="a3"/>
        <w:spacing w:after="0" w:line="240" w:lineRule="auto"/>
        <w:ind w:left="0"/>
        <w:jc w:val="both"/>
        <w:rPr>
          <w:rFonts w:ascii="Times New Roman" w:hAnsi="Times New Roman" w:cs="Times New Roman"/>
          <w:sz w:val="24"/>
          <w:szCs w:val="24"/>
        </w:rPr>
      </w:pPr>
    </w:p>
    <w:p w:rsidR="0016781F" w:rsidRDefault="004F4C1B" w:rsidP="0016781F">
      <w:pPr>
        <w:pStyle w:val="a3"/>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Секретарь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1BB2">
        <w:rPr>
          <w:rFonts w:ascii="Times New Roman" w:hAnsi="Times New Roman" w:cs="Times New Roman"/>
          <w:sz w:val="24"/>
          <w:szCs w:val="24"/>
        </w:rPr>
        <w:t xml:space="preserve">            Ю.С. Тушина</w:t>
      </w:r>
    </w:p>
    <w:p w:rsidR="0016781F" w:rsidRDefault="0016781F" w:rsidP="0016781F">
      <w:pPr>
        <w:pStyle w:val="a3"/>
        <w:spacing w:after="0" w:line="240" w:lineRule="auto"/>
        <w:ind w:left="0" w:firstLine="567"/>
        <w:jc w:val="both"/>
        <w:rPr>
          <w:rFonts w:ascii="Times New Roman" w:hAnsi="Times New Roman" w:cs="Times New Roman"/>
          <w:sz w:val="24"/>
          <w:szCs w:val="24"/>
        </w:rPr>
      </w:pPr>
    </w:p>
    <w:p w:rsidR="00151F30" w:rsidRDefault="00151F30"/>
    <w:sectPr w:rsidR="00151F30" w:rsidSect="004F4C1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A05"/>
    <w:multiLevelType w:val="hybridMultilevel"/>
    <w:tmpl w:val="79A04EF8"/>
    <w:lvl w:ilvl="0" w:tplc="7B68E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314DF1"/>
    <w:multiLevelType w:val="hybridMultilevel"/>
    <w:tmpl w:val="DE3AFDB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B0B615B"/>
    <w:multiLevelType w:val="hybridMultilevel"/>
    <w:tmpl w:val="6582B9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836AD"/>
    <w:multiLevelType w:val="hybridMultilevel"/>
    <w:tmpl w:val="237A7A3C"/>
    <w:lvl w:ilvl="0" w:tplc="62E2E54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0CF174C"/>
    <w:multiLevelType w:val="multilevel"/>
    <w:tmpl w:val="1A26688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5B0C20C6"/>
    <w:multiLevelType w:val="multilevel"/>
    <w:tmpl w:val="EAEABD4E"/>
    <w:lvl w:ilvl="0">
      <w:start w:val="1"/>
      <w:numFmt w:val="decimal"/>
      <w:lvlText w:val="%1."/>
      <w:lvlJc w:val="left"/>
      <w:pPr>
        <w:ind w:left="1525" w:hanging="390"/>
      </w:pPr>
    </w:lvl>
    <w:lvl w:ilvl="1">
      <w:start w:val="3"/>
      <w:numFmt w:val="decimal"/>
      <w:isLgl/>
      <w:lvlText w:val="%1.%2."/>
      <w:lvlJc w:val="left"/>
      <w:pPr>
        <w:ind w:left="1495" w:hanging="36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DB"/>
    <w:rsid w:val="00151F30"/>
    <w:rsid w:val="0016781F"/>
    <w:rsid w:val="00256211"/>
    <w:rsid w:val="00343703"/>
    <w:rsid w:val="00393CA7"/>
    <w:rsid w:val="004E6E48"/>
    <w:rsid w:val="004F4C1B"/>
    <w:rsid w:val="007F74CD"/>
    <w:rsid w:val="00A722D1"/>
    <w:rsid w:val="00A74DDC"/>
    <w:rsid w:val="00EC313D"/>
    <w:rsid w:val="00F618DB"/>
    <w:rsid w:val="00F81BB2"/>
    <w:rsid w:val="00FE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F049D-B137-4E23-A242-6F0951EA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81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81F"/>
    <w:pPr>
      <w:ind w:left="720"/>
      <w:contextualSpacing/>
    </w:pPr>
  </w:style>
  <w:style w:type="table" w:styleId="a4">
    <w:name w:val="Table Grid"/>
    <w:basedOn w:val="a1"/>
    <w:uiPriority w:val="59"/>
    <w:rsid w:val="004E6E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E6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0901,bqiaagaaeyqcaaagiaiaaap8kqaabqoqaaaaaaaaaaaaaaaaaaaaaaaaaaaaaaaaaaaaaaaaaaaaaaaaaaaaaaaaaaaaaaaaaaaaaaaaaaaaaaaaaaaaaaaaaaaaaaaaaaaaaaaaaaaaaaaaaaaaaaaaaaaaaaaaaaaaaaaaaaaaaaaaaaaaaaaaaaaaaaaaaaaaaaaaaaaaaaaaaaaaaaaaaaaaaaaaaaaaaaa"/>
    <w:basedOn w:val="a"/>
    <w:rsid w:val="00343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3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Сульманова</dc:creator>
  <cp:keywords/>
  <dc:description/>
  <cp:lastModifiedBy>Юлия Тушина</cp:lastModifiedBy>
  <cp:revision>8</cp:revision>
  <dcterms:created xsi:type="dcterms:W3CDTF">2025-02-04T10:53:00Z</dcterms:created>
  <dcterms:modified xsi:type="dcterms:W3CDTF">2025-02-10T05:38:00Z</dcterms:modified>
</cp:coreProperties>
</file>