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BD" w:rsidRDefault="00D475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6465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сторические, социальные </w:t>
      </w:r>
      <w:r w:rsidR="006465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национально-культурные особенности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Ханты-Мансийского автономного округа Югры</w:t>
      </w:r>
      <w:r w:rsidR="006465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bookmarkEnd w:id="0"/>
    <w:p w:rsidR="00216FBD" w:rsidRDefault="00216F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FBD" w:rsidRDefault="006465F7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Ханты-Мансийский автономный округ 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образован в 1930 году, 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  <w:t xml:space="preserve">до 1940 года назывался Остяко-Вогульский национальный округ. Находится 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  <w:t>в составе Тюменской области в Уральском федеральном округе.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Округ расположен в центре Западносибирской низменности. Граничит 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  <w:t>с Ямало-Ненецким автономным округо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м, Красноярским краем, Томской, Тюменской, Свердловской областями и Республикой Коми.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Площадь региона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534,8 тысячи квадратных километров, что в 3 раза больше площади Таджикистана и в 2,5 раза больше площади Киргизстана. 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  <w:t>В состав округа входят 9 районов,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13 городских округов. Административный центр – город Ханты-Мансийск. Крупные города – Сургут, Нефтеюганск, Нижневартовск.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В Югре хорошо развита сеть современных автомобильных, железнодорожных, водных путей, налажено интенсивное авиасообщение. 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  <w:t>По территор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ии Югры проходят два из 18-ти основных автодорожных коридоров России: «Северный маршрут» (Пермь – Ханты-Мансийск – Сургут – Нижневартовск – Томск) и «Сибирский коридор» (Тюмень – Сургут – Новый Уренгой – Надым – Салехард). Общая протяжённость железнодорожн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ых путей на территории региона составляет 1,1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тысяч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километров. Протяжённость автодорог – более 18,0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тысяч</w:t>
      </w:r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километров.</w:t>
      </w:r>
    </w:p>
    <w:p w:rsidR="00216FBD" w:rsidRDefault="006465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Расположен в зоне таежных лесов и болот. Рельеф региона разнообразен: на его территории есть равнины, предгорья и горы.</w:t>
      </w:r>
    </w:p>
    <w:p w:rsidR="00216FBD" w:rsidRDefault="006465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Климат округа уме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ренный континентальный. Отличается резкой переменой погоды весной и осенью, перепадами температур в течение суток. Зимы продолжительные, снежные и холодные. Морозы могут установиться на несколько недель при температуре воздуха ниже минус 30 градусов. Лето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короткое и теплое.</w:t>
      </w:r>
    </w:p>
    <w:p w:rsidR="00216FBD" w:rsidRDefault="00216FB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</w:p>
    <w:p w:rsidR="00216FBD" w:rsidRDefault="006465F7">
      <w:pPr>
        <w:tabs>
          <w:tab w:val="left" w:pos="850"/>
          <w:tab w:val="left" w:pos="992"/>
        </w:tabs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2. В настоящее время Ханты-Мансийский автономный округ – Югра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>это самостоятельный субъект федерации с численностью населения 1759,4 тысяч человек,  32 тысячи человек или примерно 2% – это предст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авители коренных малочисленных народов Севера: ханты, манси и ненцы, половина из которых ведут традиционный образ жизни.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Югра является многонациональным регионом, где, по результатам Всероссийской переписи населения 2020, проживают представители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>139 нацио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нальностей.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lastRenderedPageBreak/>
        <w:t>Основным по численности этносов являются русские – 52% от общего числа населения округа, 4,7% – татары, 2,4% – украинцы, 1,7% – башкиры.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Доля христиан составляет – 80%, мусульмане –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18,5%, остальные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>религии – 0,2%.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На территории автономного ок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руга осуществляют свою деятельность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 xml:space="preserve">105 зарегистрированных общественных объединений, образованных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>по национально-культурному признаку.</w:t>
      </w:r>
    </w:p>
    <w:p w:rsidR="00216FBD" w:rsidRDefault="00216F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3. Югра занимает лидирующие позиции среди субъектов РФ по объему промышленного производства, производству электроэнерг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ии, добыче нефти и газа, объему инвестиций в основной капитал ведется добыча нефти. Предприятия Югры образуют более 15 % доходов бюджета России. Главное богатство округа – нефть: половина российского «черного золота» добывается в Югре. На территории регион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а осуществляют свою деятельность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 xml:space="preserve">104 нефтегазодобывающих компаний. Увеличивается и доля региона в объеме добычи газа в России, достигнув 5 %. В регионе создан мощнейший в стране электроэнергетический комплекс. 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Ханты-Мансийский автономный округ – Югра – э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кспортно-ориентированный регион. Доля экспорта во внешнеторговом обороте составляет 95,6 %. На экспорт идут минеральное топливо, нефть и продукты их перегонки, битуминозные вещества, воски минеральные; древесина, древесный уголь. Основные импортируемые тов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ары – это летательные аппараты, котлы, оборудование, изделия из черных металлов, электрические машины.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Югра также имеет большой потенциал в сфере лесного хозяйства, агропромышленного комплекса (югорская рыба и дикоросы ценятся по всей стране), уникальных 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ародных промыслов. А такие мероприятия, как Югорский промышленный форум, выставка «Товары земли Югорской», IT-форум привлекают предпринимателей со всей России.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4. В Югре как и в остальных регионах России широко отмечаются праздники и памятные даты. Так,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к праздникам относятся: Новый год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br/>
        <w:t xml:space="preserve">(31 декабря - 8 января), День защитника отечества (23 февраля), Международный женский день (8 марта), Праздник весны и труда (1 мая), День России (12 июня), Международный день защиты детей (1 июля), День государственного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флага Российской Федерации (22 августа), День знаний (1 сентября), День народного единства (4 ноябр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я), День Конституции Российской Федерации (12 декабря). В Югре представители коренных малочисленных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народов Севера отмечают традиционные праздники: Вороний д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ень (вторая суббота апреля), Праздник трясогузки (первая неделя июня).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России принято с почтением относиться к дням памяти и воинской славы русского оружия. Так в России и в Югре с глубоким уважением относятся к следующим датам: День снятия блокады Ленин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града (27 января), День космонавтики (12 апреля), День победы Красной армии и советского народа над нацистской Германией в Великой Отечественной войне 1941–1945 годов (9 мая), День памяти и скорби – день начала Великой Отечественной войны 1941–1945 годов (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22 июня), День героев Отечества (9 декабря).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 многих муниципальных образованиях имеются парки победы, Аллеи славы, мемориалы победы с постоянно горящим пламенем «Вечный огонь». Недопустимо вести себя вызывающее в обозначенных местах, трогать вечный огонь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цветы, нарушать порядок, пить, курить, выражаться нецензурно, кричать, танцевать и совершать иные действия неподобающие для мест памяти павшим воинам.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 состоянию на 1 января 2024 года в Югре 57 достопримечательных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мест – 3 федерального значения, 45 ре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гионального значения и 9 местного (муниципального) значения. В их составе 1366 памятников археологии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и 69 памятников истории (священные места коренных малочисленных народов Севера).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границах священных мест коренных малочисленных народов Севера запрещена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хозяйственная деятельность и неподобающее поведение.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территории автономного округа находятся памятники истории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 xml:space="preserve">и культуры: музеи, театры, археологические комплексы. В Югре работает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 xml:space="preserve">35 музеев и их филиалов. Большинство музеев – историко-краеведческие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и этнографические.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Ханты-Мансийске расположен этнографический музей под открытым небом «Торум Маа», основанный в 1987 году. Музей транслирует живую культуру коренных малочисленных народов Севера. Кроме экспонирования редчайших предметов, музей «Торум Маа» проводит обрядовы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 праздники коренных малочисленных народов Севера.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округе расположены два государственных заповедника – «Юганский» и «Малая Сосьва», четыре природных парка, восемь заказников.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Ежегодно окружной центр становится площадкой международного киноискусства. В Ю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гру съезжаются гости и участники фестиваля кинематографических дебютов «Дух огня».</w:t>
      </w:r>
    </w:p>
    <w:p w:rsidR="00216FBD" w:rsidRDefault="00216F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5. В Югре центрами занятости населения автономного округа совместно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 xml:space="preserve">с работодателями в местах нахождения иностранных работников установлены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информационные уголки либо стен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ды , где размещаются и актуализируются по мере необходимости разъяснительные материалы по вопросам соблюдения общепринятых норм и правил поведения, направленных на профилактику правонарушений и действий экстремистского характера. В постоянном режиме в адре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 работодателей через центры занятости населения направляется информация об изменениях в миграционном законодательстве. 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автономном округе осуществляют свою деятельность 3 центра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по адаптации иностранных граждан: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АНО «Центр социальной и культурной ада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птации иностранных граждан» (г. Сургут);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АНО «Ресурсный центр поддержки НКО города Когалыма»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(г. Когалым);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АНО «Центр социальной и культурной адаптации и интеграции иностранных граждан «Единство» (Нягань).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 информацией о работе центров, а также получ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ением иной необходимой для адаптации информацией можно ознакомиться на портале информационной системы «Мигрант», а также мобильного приложения «Мигрант». Портал и мобильное приложение включает в себя новостную и справочную информацию, в том числе направлен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ную на профилактику правонарушений, экстремизма и терроризма. В приложении содержится информация об учреждениях и их локации на карте, в которых иностранные граждане могут получить услуги, о правилах поведения в принимающем сообществе, об основах русского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языка, о проводимых в регионе мероприятиях. Система «Мигрант» доступна для скачивания в Google Play и App Store.</w:t>
      </w:r>
    </w:p>
    <w:p w:rsidR="00216FBD" w:rsidRDefault="00216F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6. В автономном округе зарегистрировано 200 религиозных организаций. Ведущими конфессиями являются православие и ислам: 123 православные орган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изации и 30 мусульманских. </w:t>
      </w:r>
    </w:p>
    <w:p w:rsidR="00216FBD" w:rsidRDefault="00646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целях отправления религиозных нужд и получения информации религиозного характера во всех городах и поселениях автономного округа имеются культовые объекты (в основном православные и исламские), в которых трудятся религиозные с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вященнослужители. Информацию о местонахождении культового объекта и контактных данных можно получить на портале информационной системы «Мигрант», а также в мобильном приложении «Мигрант».</w:t>
      </w:r>
    </w:p>
    <w:sectPr w:rsidR="00216F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F7" w:rsidRDefault="006465F7">
      <w:pPr>
        <w:spacing w:after="0" w:line="240" w:lineRule="auto"/>
      </w:pPr>
      <w:r>
        <w:separator/>
      </w:r>
    </w:p>
  </w:endnote>
  <w:endnote w:type="continuationSeparator" w:id="0">
    <w:p w:rsidR="006465F7" w:rsidRDefault="0064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F7" w:rsidRDefault="006465F7">
      <w:pPr>
        <w:spacing w:after="0" w:line="240" w:lineRule="auto"/>
      </w:pPr>
      <w:r>
        <w:separator/>
      </w:r>
    </w:p>
  </w:footnote>
  <w:footnote w:type="continuationSeparator" w:id="0">
    <w:p w:rsidR="006465F7" w:rsidRDefault="0064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E2FE4"/>
    <w:multiLevelType w:val="hybridMultilevel"/>
    <w:tmpl w:val="0D2CBAEE"/>
    <w:lvl w:ilvl="0" w:tplc="CEA41964">
      <w:start w:val="1"/>
      <w:numFmt w:val="decimal"/>
      <w:lvlText w:val="%1."/>
      <w:lvlJc w:val="left"/>
    </w:lvl>
    <w:lvl w:ilvl="1" w:tplc="7AC2CE84">
      <w:start w:val="1"/>
      <w:numFmt w:val="lowerLetter"/>
      <w:lvlText w:val="%2."/>
      <w:lvlJc w:val="left"/>
      <w:pPr>
        <w:ind w:left="1440" w:hanging="360"/>
      </w:pPr>
    </w:lvl>
    <w:lvl w:ilvl="2" w:tplc="5CA0B8E4">
      <w:start w:val="1"/>
      <w:numFmt w:val="lowerRoman"/>
      <w:lvlText w:val="%3."/>
      <w:lvlJc w:val="right"/>
      <w:pPr>
        <w:ind w:left="2160" w:hanging="180"/>
      </w:pPr>
    </w:lvl>
    <w:lvl w:ilvl="3" w:tplc="BCCA11E2">
      <w:start w:val="1"/>
      <w:numFmt w:val="decimal"/>
      <w:lvlText w:val="%4."/>
      <w:lvlJc w:val="left"/>
      <w:pPr>
        <w:ind w:left="2880" w:hanging="360"/>
      </w:pPr>
    </w:lvl>
    <w:lvl w:ilvl="4" w:tplc="51B84FDE">
      <w:start w:val="1"/>
      <w:numFmt w:val="lowerLetter"/>
      <w:lvlText w:val="%5."/>
      <w:lvlJc w:val="left"/>
      <w:pPr>
        <w:ind w:left="3600" w:hanging="360"/>
      </w:pPr>
    </w:lvl>
    <w:lvl w:ilvl="5" w:tplc="5FA83D68">
      <w:start w:val="1"/>
      <w:numFmt w:val="lowerRoman"/>
      <w:lvlText w:val="%6."/>
      <w:lvlJc w:val="right"/>
      <w:pPr>
        <w:ind w:left="4320" w:hanging="180"/>
      </w:pPr>
    </w:lvl>
    <w:lvl w:ilvl="6" w:tplc="4A88BA22">
      <w:start w:val="1"/>
      <w:numFmt w:val="decimal"/>
      <w:lvlText w:val="%7."/>
      <w:lvlJc w:val="left"/>
      <w:pPr>
        <w:ind w:left="5040" w:hanging="360"/>
      </w:pPr>
    </w:lvl>
    <w:lvl w:ilvl="7" w:tplc="29225D3A">
      <w:start w:val="1"/>
      <w:numFmt w:val="lowerLetter"/>
      <w:lvlText w:val="%8."/>
      <w:lvlJc w:val="left"/>
      <w:pPr>
        <w:ind w:left="5760" w:hanging="360"/>
      </w:pPr>
    </w:lvl>
    <w:lvl w:ilvl="8" w:tplc="18CA3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D"/>
    <w:rsid w:val="00216FBD"/>
    <w:rsid w:val="00527B8A"/>
    <w:rsid w:val="006465F7"/>
    <w:rsid w:val="00D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00EE-F804-48F5-9B89-6F28EAC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Тушина</dc:creator>
  <cp:lastModifiedBy>Юлия Тушина</cp:lastModifiedBy>
  <cp:revision>2</cp:revision>
  <dcterms:created xsi:type="dcterms:W3CDTF">2025-06-04T09:26:00Z</dcterms:created>
  <dcterms:modified xsi:type="dcterms:W3CDTF">2025-06-04T09:26:00Z</dcterms:modified>
</cp:coreProperties>
</file>