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5E" w:rsidRDefault="00A82D5E" w:rsidP="00A82D5E">
      <w:pPr>
        <w:jc w:val="center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6100" cy="724535"/>
            <wp:effectExtent l="19050" t="0" r="6350" b="0"/>
            <wp:docPr id="244" name="Рисунок 1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D5E" w:rsidRDefault="00A82D5E" w:rsidP="00A82D5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A82D5E" w:rsidRDefault="00A82D5E" w:rsidP="00A82D5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A82D5E" w:rsidRDefault="00A82D5E" w:rsidP="00A82D5E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A82D5E" w:rsidRDefault="00A82D5E" w:rsidP="00A82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A82D5E" w:rsidRDefault="00A82D5E" w:rsidP="00A82D5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П О С Т А Н О В Л Е Н И Е</w:t>
      </w:r>
    </w:p>
    <w:p w:rsidR="00A82D5E" w:rsidRDefault="00A82D5E" w:rsidP="00A82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D5E" w:rsidRDefault="00A82D5E" w:rsidP="00A82D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«26» октября 2016 года                                                                           №725-п</w:t>
      </w:r>
    </w:p>
    <w:p w:rsidR="00A82D5E" w:rsidRDefault="00A82D5E" w:rsidP="00A82D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пгт. Федоровский</w:t>
      </w:r>
    </w:p>
    <w:p w:rsidR="00A82D5E" w:rsidRDefault="00A82D5E" w:rsidP="00A82D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1A6">
        <w:rPr>
          <w:rFonts w:ascii="Times New Roman" w:eastAsia="Times New Roman" w:hAnsi="Times New Roman" w:cs="Times New Roman"/>
          <w:sz w:val="28"/>
          <w:szCs w:val="28"/>
        </w:rPr>
        <w:t xml:space="preserve">О прогнозе социально-экономического </w:t>
      </w:r>
    </w:p>
    <w:p w:rsidR="00A82D5E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1A6">
        <w:rPr>
          <w:rFonts w:ascii="Times New Roman" w:eastAsia="Times New Roman" w:hAnsi="Times New Roman" w:cs="Times New Roman"/>
          <w:sz w:val="28"/>
          <w:szCs w:val="28"/>
        </w:rPr>
        <w:t xml:space="preserve">развития городского поселения Федоровский 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1A6">
        <w:rPr>
          <w:rFonts w:ascii="Times New Roman" w:eastAsia="Times New Roman" w:hAnsi="Times New Roman" w:cs="Times New Roman"/>
          <w:sz w:val="28"/>
          <w:szCs w:val="28"/>
        </w:rPr>
        <w:t>на 2017 год и на плановый период 2018-2019 года</w:t>
      </w:r>
    </w:p>
    <w:p w:rsidR="00A82D5E" w:rsidRDefault="00A82D5E" w:rsidP="00A82D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2D5E" w:rsidRPr="00D541A6" w:rsidRDefault="00A82D5E" w:rsidP="00A82D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1A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173 Бюджетного кодекса РФ, постановления администрации городского поселения Федоровский от 10.10.2016 № 689-п «О порядке разработки, корректировки, утверждения (одобрения) и осуществления мониторинга и контроля реализации прогноза социально-экономического развития городского поселения Федоровский»:</w:t>
      </w:r>
    </w:p>
    <w:p w:rsidR="00A82D5E" w:rsidRPr="00D541A6" w:rsidRDefault="00A82D5E" w:rsidP="00A82D5E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1A6">
        <w:rPr>
          <w:rFonts w:ascii="Times New Roman" w:eastAsia="Times New Roman" w:hAnsi="Times New Roman" w:cs="Times New Roman"/>
          <w:sz w:val="28"/>
          <w:szCs w:val="28"/>
        </w:rPr>
        <w:t>Одобрить прогноз социально-экономического развития городского поселения Федоровский на 2017 год и на период 2018-2019 годы согласно приложению к настоящему постановлению.</w:t>
      </w:r>
    </w:p>
    <w:p w:rsidR="00A82D5E" w:rsidRPr="00D541A6" w:rsidRDefault="00A82D5E" w:rsidP="00A82D5E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1A6">
        <w:rPr>
          <w:rFonts w:ascii="Times New Roman" w:eastAsia="Times New Roman" w:hAnsi="Times New Roman" w:cs="Times New Roman"/>
          <w:sz w:val="28"/>
          <w:szCs w:val="28"/>
        </w:rPr>
        <w:t>Финансово-экономическому управлению администрации городского поселения Федоровский при составлении проекта бюджета городского поселения на 2017 год и плановый период 2018 и 2019 годов учесть основные показатели прогноза социально-экономического развития городского поселения Федоровский на 2017 год и плановый период 2018 и 2019 годов.</w:t>
      </w:r>
    </w:p>
    <w:p w:rsidR="00A82D5E" w:rsidRPr="00D541A6" w:rsidRDefault="00A82D5E" w:rsidP="00A82D5E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1A6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D541A6">
        <w:rPr>
          <w:rFonts w:ascii="Times New Roman" w:eastAsia="Times New Roman" w:hAnsi="Times New Roman" w:cs="Times New Roman"/>
          <w:sz w:val="28"/>
          <w:szCs w:val="28"/>
        </w:rPr>
        <w:t>городского поселения Федоровский в сети Интернет.</w:t>
      </w:r>
    </w:p>
    <w:p w:rsidR="00A82D5E" w:rsidRPr="00D541A6" w:rsidRDefault="00A82D5E" w:rsidP="00A82D5E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1A6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82D5E" w:rsidRPr="00D541A6" w:rsidRDefault="00A82D5E" w:rsidP="00A82D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82D5E" w:rsidRPr="00D541A6" w:rsidRDefault="00A82D5E" w:rsidP="00A82D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82D5E" w:rsidRDefault="00A82D5E" w:rsidP="00A8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A82D5E" w:rsidRDefault="00A82D5E" w:rsidP="00A8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                                                                                          Н.У. Рудышин</w:t>
      </w:r>
    </w:p>
    <w:p w:rsidR="00A82D5E" w:rsidRDefault="00A82D5E" w:rsidP="00A8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D5E" w:rsidRPr="00D541A6" w:rsidRDefault="00A82D5E" w:rsidP="00A82D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82D5E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5E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5E" w:rsidRDefault="00A82D5E" w:rsidP="00A82D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82D5E" w:rsidRDefault="00A82D5E" w:rsidP="00A82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82D5E" w:rsidSect="000D32CA">
          <w:footerReference w:type="even" r:id="rId6"/>
          <w:footerReference w:type="default" r:id="rId7"/>
          <w:pgSz w:w="11907" w:h="16840" w:code="9"/>
          <w:pgMar w:top="992" w:right="851" w:bottom="1276" w:left="1276" w:header="720" w:footer="720" w:gutter="0"/>
          <w:cols w:space="708"/>
          <w:titlePg/>
          <w:docGrid w:linePitch="326"/>
        </w:sectPr>
      </w:pPr>
    </w:p>
    <w:p w:rsidR="00A82D5E" w:rsidRPr="00E81C59" w:rsidRDefault="00A82D5E" w:rsidP="00A82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C5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C59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A82D5E" w:rsidRPr="00E81C59" w:rsidRDefault="00A82D5E" w:rsidP="00A82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C59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A82D5E" w:rsidRDefault="00A82D5E" w:rsidP="00A82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C5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26.10.</w:t>
      </w:r>
      <w:r w:rsidRPr="00E81C59">
        <w:rPr>
          <w:rFonts w:ascii="Times New Roman" w:eastAsia="Times New Roman" w:hAnsi="Times New Roman" w:cs="Times New Roman"/>
          <w:sz w:val="24"/>
          <w:szCs w:val="24"/>
        </w:rPr>
        <w:t>2016 №</w:t>
      </w:r>
      <w:r>
        <w:rPr>
          <w:rFonts w:ascii="Times New Roman" w:eastAsia="Times New Roman" w:hAnsi="Times New Roman" w:cs="Times New Roman"/>
          <w:sz w:val="24"/>
          <w:szCs w:val="24"/>
        </w:rPr>
        <w:t>725-п</w:t>
      </w:r>
    </w:p>
    <w:p w:rsidR="00A82D5E" w:rsidRDefault="00A82D5E" w:rsidP="00A82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9"/>
        <w:gridCol w:w="1262"/>
        <w:gridCol w:w="1183"/>
        <w:gridCol w:w="1184"/>
        <w:gridCol w:w="1183"/>
        <w:gridCol w:w="1183"/>
        <w:gridCol w:w="1183"/>
        <w:gridCol w:w="1183"/>
        <w:gridCol w:w="1183"/>
        <w:gridCol w:w="1183"/>
      </w:tblGrid>
      <w:tr w:rsidR="00A82D5E" w:rsidRPr="00D541A6" w:rsidTr="00DF66EA">
        <w:trPr>
          <w:trHeight w:val="255"/>
          <w:tblHeader/>
        </w:trPr>
        <w:tc>
          <w:tcPr>
            <w:tcW w:w="3789" w:type="dxa"/>
            <w:vMerge w:val="restart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66" w:type="dxa"/>
            <w:gridSpan w:val="2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366" w:type="dxa"/>
            <w:gridSpan w:val="2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366" w:type="dxa"/>
            <w:gridSpan w:val="2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A82D5E" w:rsidRPr="00D541A6" w:rsidTr="00DF66EA">
        <w:trPr>
          <w:trHeight w:val="255"/>
          <w:tblHeader/>
        </w:trPr>
        <w:tc>
          <w:tcPr>
            <w:tcW w:w="3789" w:type="dxa"/>
            <w:vMerge/>
            <w:vAlign w:val="center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sz w:val="20"/>
                <w:szCs w:val="20"/>
              </w:rPr>
              <w:t>II вариант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sz w:val="20"/>
                <w:szCs w:val="20"/>
              </w:rPr>
              <w:t>II вариант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sz w:val="20"/>
                <w:szCs w:val="20"/>
              </w:rPr>
              <w:t>II вариант</w:t>
            </w:r>
          </w:p>
        </w:tc>
      </w:tr>
      <w:tr w:rsidR="00A82D5E" w:rsidRPr="00D541A6" w:rsidTr="00DF66EA">
        <w:trPr>
          <w:trHeight w:val="255"/>
          <w:tblHeader/>
        </w:trPr>
        <w:tc>
          <w:tcPr>
            <w:tcW w:w="3789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41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Демография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начало года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23461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23692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23929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24055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24074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конец года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23692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23929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24055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24186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24224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среднегодовая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23576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23868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23871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23992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24120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24149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Естественный прирост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число родившихся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число умерших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82D5E" w:rsidRPr="00D541A6" w:rsidTr="00DF66EA">
        <w:trPr>
          <w:trHeight w:val="18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Миграционный прирост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-131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-217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число прибывших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число выбывших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естественного прироста 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103,5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рождаемости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смертности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миграционного прироста 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интенсивности прибытия 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интенсивности выбытия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естественного прироста 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15,39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15,24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рождаемости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18,92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18,36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смертности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1000 человек 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3,5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Коэффициент миграционного прироста 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-5,6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-9,0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интенсивности прибытия 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интенсивности выбытия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</w:tr>
      <w:tr w:rsidR="00A82D5E" w:rsidRPr="00D541A6" w:rsidTr="00DF66EA">
        <w:trPr>
          <w:trHeight w:val="333"/>
        </w:trPr>
        <w:tc>
          <w:tcPr>
            <w:tcW w:w="3789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Производство товаров и услуг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459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сельскохозяйственной продукции в натуральном выражении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172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sz w:val="20"/>
                <w:szCs w:val="20"/>
              </w:rPr>
              <w:t>тыс.л.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A82D5E" w:rsidRPr="00D541A6" w:rsidTr="00DF66EA">
        <w:trPr>
          <w:trHeight w:val="6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A82D5E" w:rsidRPr="00D541A6" w:rsidTr="00DF66EA">
        <w:trPr>
          <w:trHeight w:val="122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sz w:val="20"/>
                <w:szCs w:val="20"/>
              </w:rPr>
              <w:t>тыс.шт.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A82D5E" w:rsidRPr="00D541A6" w:rsidTr="00DF66EA">
        <w:trPr>
          <w:trHeight w:val="49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Реализовано сельскохозяйственной продукции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39100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40898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42861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43270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44447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45347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45647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47161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Малое и среднее предпринимательство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Предприятия торговли                    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единиц/м2 торг.площ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14531,0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 14515,0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 14515,0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 14515,0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 14515,0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 14515,0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 14515,0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 14515,0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единиц/м2 торг.площ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34/6324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34/6344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34/6344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34/6344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34/6344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34/6344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34/6344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34/6344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единиц/м2 торг.площ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4/5738,0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4/5738,0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4/5738,0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4/5738,0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4/5738,0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4/5738,0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4/5738,0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4/5738,0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единиц/м2 торг.площ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14/859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13/808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13/808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13/808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13/808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13/808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13/808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13/808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палатки, киоски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единиц/м2 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торг.площ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10/86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11/101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 Объекты бытового обслуживания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ремонту, окраске и пошиву обуви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ремонту и техническому обслуживанию бытовой радиоэлектронной аппаратуры, бытовых машин и приборов, изготовлению металлоконструкций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бани, душевые, сауны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парикмахерские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фотоателье, фото- и кино- лаборатории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 бытового характера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Предприятия общественного питания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посад.мест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14/1215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15/1231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15/1231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15/1231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15/1231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15/1231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15/1231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15/1231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Прочие объекты потребительского рынка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аптеки и аптечные пункты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хлебопекарни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корпусной мебели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3.5.Прочие объекты малого и среднего бизнеса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82D5E" w:rsidRPr="00D541A6" w:rsidTr="00DF66EA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объектов малого и среднего бизнеса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Рынок товаров и услуг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2452,8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2585,2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2681,0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2709,3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2782,9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2817,6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259,8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800,6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Труд и занятость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21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 активное население   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14951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15053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14948</w:t>
            </w:r>
          </w:p>
        </w:tc>
      </w:tr>
      <w:tr w:rsidR="00A82D5E" w:rsidRPr="00D541A6" w:rsidTr="00DF66EA">
        <w:trPr>
          <w:trHeight w:val="357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13238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13504</w:t>
            </w:r>
          </w:p>
        </w:tc>
      </w:tr>
      <w:tr w:rsidR="00A82D5E" w:rsidRPr="00D541A6" w:rsidTr="00DF66EA">
        <w:trPr>
          <w:trHeight w:val="87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безработных, зарегистрированных в органах              </w:t>
            </w: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государственной службы занятости (на конец года), </w:t>
            </w:r>
          </w:p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2D5E" w:rsidRPr="00D541A6" w:rsidTr="00DF66EA">
        <w:trPr>
          <w:trHeight w:val="228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-женщины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2D5E" w:rsidRPr="00D541A6" w:rsidTr="00DF66EA">
        <w:trPr>
          <w:trHeight w:val="117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-молодежь до 30 лет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D5E" w:rsidRPr="00D541A6" w:rsidTr="00DF66EA">
        <w:trPr>
          <w:trHeight w:val="16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D5E" w:rsidRPr="00D541A6" w:rsidTr="00DF66EA">
        <w:trPr>
          <w:trHeight w:val="473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безработицы,  зарегистрированной в органах              </w:t>
            </w: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государственной службы занятости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A82D5E" w:rsidRPr="00D541A6" w:rsidTr="00DF66EA">
        <w:trPr>
          <w:trHeight w:val="473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2"/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</w:tr>
      <w:bookmarkEnd w:id="0"/>
      <w:tr w:rsidR="00A82D5E" w:rsidRPr="00D541A6" w:rsidTr="00DF66EA">
        <w:trPr>
          <w:trHeight w:val="473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численности занятых в экономике в численности экономически активного населения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</w:tr>
      <w:tr w:rsidR="00A82D5E" w:rsidRPr="00D541A6" w:rsidTr="00DF66EA">
        <w:trPr>
          <w:trHeight w:val="28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Денежные доходы и расходы населения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79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доходы населения - всего, </w:t>
            </w:r>
          </w:p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9573,6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10078,9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10509,3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10690,7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11032,6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11801,1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11837,4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оплата труда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8913,9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9386,3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9789,9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9968,2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10289,2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10486,5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11030,0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11052,8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процентах к итогу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социальные трансферты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629,5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процентах к итогу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другие доходы (доходы от долевого участия в деятельности организаций, доходы, полученные в виде выигрышей и призов, процентные доходы по вкладам в банках)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161,4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155,1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процентах к итогу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расходы населения - </w:t>
            </w: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7424,3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8388,2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8591,1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8730,2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9070,6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9084,2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9557,8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- потребительские расходы (покупка товаров и услуг)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6201,4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6666,5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7006,5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7186,5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7286,7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7588,9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7578,2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7998,7</w:t>
            </w:r>
          </w:p>
        </w:tc>
      </w:tr>
      <w:tr w:rsidR="00A82D5E" w:rsidRPr="00D541A6" w:rsidTr="00DF66EA">
        <w:trPr>
          <w:trHeight w:val="224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обязательные платежи (ЖКУ, телефон и т.д.)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451,5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564,1</w:t>
            </w:r>
          </w:p>
        </w:tc>
      </w:tr>
      <w:tr w:rsidR="00A82D5E" w:rsidRPr="00D541A6" w:rsidTr="00DF66EA">
        <w:trPr>
          <w:trHeight w:val="219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прочие расходы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771,5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A82D5E" w:rsidRPr="00D541A6" w:rsidTr="00DF66EA">
        <w:trPr>
          <w:trHeight w:val="248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доходов над расходами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2149,3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2121,1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2099,6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2302,4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2169,8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2716,9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2279,6</w:t>
            </w:r>
          </w:p>
        </w:tc>
      </w:tr>
      <w:tr w:rsidR="00A82D5E" w:rsidRPr="00D541A6" w:rsidTr="00DF66EA">
        <w:trPr>
          <w:trHeight w:val="192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A82D5E" w:rsidRPr="00D541A6" w:rsidTr="00DF66EA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Среднемесячный доход </w:t>
            </w: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душу населения  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A82D5E" w:rsidRPr="00D541A6" w:rsidTr="00DF66EA">
        <w:trPr>
          <w:trHeight w:val="51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184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7.Развитие отраслей социальной сферы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7.1.1. Дошкольное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сады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воспитателей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OLE_LINK1"/>
            <w:bookmarkStart w:id="2" w:name="OLE_LINK3"/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Очередность детей в дошкольные общеобразовательные учреждения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bookmarkEnd w:id="1"/>
      <w:bookmarkEnd w:id="2"/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7.1.2. Среднее общее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3283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учителей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7.1.3. Дополнительное образование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Федоровский дом детского творчества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Федоровский центр дополнительного образования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3642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Здравоохранение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Больницы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работающих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врачей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среднего медицинского персонала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больничными койками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койки круглосуточного стационара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койки дневного стационара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амбулаторно-поликлинического учреждения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посещений за смену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Пролечено всего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3004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койках дневного стационара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больными всего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койко-дней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29297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29297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29297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29297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29297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29297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29297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29297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койках дневного стационара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1183" w:type="dxa"/>
            <w:vAlign w:val="bottom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1183" w:type="dxa"/>
            <w:vAlign w:val="bottom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1183" w:type="dxa"/>
            <w:vAlign w:val="bottom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1183" w:type="dxa"/>
            <w:vAlign w:val="bottom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1183" w:type="dxa"/>
            <w:vAlign w:val="bottom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8232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поликлиник/амбулаторий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посещений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Посещений на дому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посещение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Посещений на одного жителя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пос/чел.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вызовов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8288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выездов на 1 жителя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 Культура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7.3.1. Учреждения культурно-досугового типа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мероприятий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человек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65282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41120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41130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41130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41140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41140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Клубные формирования, коллективы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Посещения клубных формирований, коллективов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7.3.2. Библиотеки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томов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пользователей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3461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3457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3475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3475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3490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посещений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63530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63530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63545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63545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63560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63560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65063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63530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63530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63545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63545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63560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63560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мероприятия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работников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библиотечных работников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7.3.3. Детские музыкальные, художественные, хореографические школы и школы искусств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преподавателей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7.3.4. Кинотеатры, киноустановки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 Физическая культура и спорт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учреждения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занимающихся физической культурой и спортом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Тренера, преподаватели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спортивно-массовых мероприятия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проведенные на территории городского поселения Федоровский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спортивных сооружений – всего,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спортивные залы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единиц/ 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24/3,9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24/3,9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24/3,9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24/3,9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24/3,9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24/3,9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24/3,9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24/3,9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бассейны крытые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единиц/м2 зеркала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2/132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лыжная база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плоскостные сооружения - всего, </w:t>
            </w:r>
          </w:p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единиц/ 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23/17,9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футбольное поле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единиц/м2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3/8944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хоккейный корт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единиц/м2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3/4097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 систематически занимающихся физической культурой и спортом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 Молодежная политика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Молодежные формирования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11/730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11/780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12/800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12/800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13/840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12/820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13/906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молодежной политики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53/8405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54/8500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55/8600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56/8900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55/8650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57/8900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56/8800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58/9000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Поселковые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34/7504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36/7700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37/7900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38/8100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37/7950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39/8200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38/8100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40/8250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10/843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10/740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10/640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10/650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10/650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10/650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10/650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10/650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Окружные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8/100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Городское хозяйство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Жилищный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общежития, 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жилого фонда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жилого фонда: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здания/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жилых помещений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454,20/ 356,0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460,84/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360,83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460,84/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360,83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460,84/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360,83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460,84/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360,83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460,84/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360,83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460,84/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360,83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460,84/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360,83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здания/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жилых помещений в деревянном исполнении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150,53/ 111,57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149,62/ 111,06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149,62/ 111,06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149,62/ 111,06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149,62/ 111,06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149,62/ 111,06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149,62/ 111,06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149,62/ 111,06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общего жилищного фонда: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муниципальный жилищный фонд (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жилых помещений)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специализированный жилищный фонд (общежития) (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жилых помещений)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Жилье непригодное для проживания (общая 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жилого дома)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58/50,7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57/49,8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57/49,8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57/49,8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57/49,8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57/49,8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57/49,8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57/49,8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ветхий жилищный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17/14,3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экологически неблагоприятный жилищный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34/30,1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33/29,2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33/29,2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33/29,2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33/29,2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33/29,2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33/29,2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33/29,2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ветхий и экологически неблагоприятный жилищный фонд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7/6,3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ветхого и фенольного жилья в общей площади жилищного фонда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приходящаяся в среднем на 1 жителя  (на конец года)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19,14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Задолженность населения за жилищно-коммунальные услуги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Коммунальный комплекс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водопроводов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скважин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Установленная производственная мощность водоочистных сооружений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 сутки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водопроводных сетей холодного водоснабжения в однотрубном исполнении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 водоснабжения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Пропущено воды через водоочистные сооружения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1704,263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1666,08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1666,08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1666,08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Отпущено воды потребителям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1454,726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1440,903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1440,903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1440,903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1440,903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1440,903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1440,903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1440,903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канализационно-очистных сооружений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Установленная пропускная способность очистных сооружений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 сутки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сетей в однотрубном исполнении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39,59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39,59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Пропущено сточных вод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1390,030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1353,540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1353,540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1353,540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1353,540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1353,540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1353,540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1353,540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котельных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Число центральных тепловых пунктов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установленных котлов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тепловых сетей  в двухтрубном исполнении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46,84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котельных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112,12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Произведено тепловой энергии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тыс.Гкал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183,089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186,863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186,863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186,863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186,863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186,863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186,863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186,863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Отпущено потребителям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тыс.Гкал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139,262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158,685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158,685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158,685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158,685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158,685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158,685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158,685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электрической энергии – всего, в том числе: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тыс.кВт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47867,8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47867,8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47867,8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47867,8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47867,8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47867,8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47867,8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47867,8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-население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тыс.кВт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25345,6</w:t>
            </w:r>
          </w:p>
        </w:tc>
        <w:tc>
          <w:tcPr>
            <w:tcW w:w="1184" w:type="dxa"/>
            <w:shd w:val="clear" w:color="auto" w:fill="auto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25345,6</w:t>
            </w:r>
          </w:p>
        </w:tc>
        <w:tc>
          <w:tcPr>
            <w:tcW w:w="1183" w:type="dxa"/>
            <w:shd w:val="clear" w:color="auto" w:fill="auto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25345,6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25345,6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25345,6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25345,6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25345,6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25345,6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-бюджетные потребители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тыс.кВт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1992,6</w:t>
            </w:r>
          </w:p>
        </w:tc>
        <w:tc>
          <w:tcPr>
            <w:tcW w:w="1184" w:type="dxa"/>
            <w:shd w:val="clear" w:color="auto" w:fill="auto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1992,6</w:t>
            </w:r>
          </w:p>
        </w:tc>
        <w:tc>
          <w:tcPr>
            <w:tcW w:w="1183" w:type="dxa"/>
            <w:shd w:val="clear" w:color="auto" w:fill="auto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1992,6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1992,6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1992,6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1992,6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1992,6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1992,6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-прочие потребители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тыс.кВт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20123,1</w:t>
            </w:r>
          </w:p>
        </w:tc>
        <w:tc>
          <w:tcPr>
            <w:tcW w:w="1184" w:type="dxa"/>
            <w:shd w:val="clear" w:color="auto" w:fill="auto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20123,1</w:t>
            </w:r>
          </w:p>
        </w:tc>
        <w:tc>
          <w:tcPr>
            <w:tcW w:w="1183" w:type="dxa"/>
            <w:shd w:val="clear" w:color="auto" w:fill="auto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20123,1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20123,1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20123,1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20123,1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20123,1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20123,1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-с/х потребители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тыс.кВт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406,5</w:t>
            </w:r>
          </w:p>
        </w:tc>
        <w:tc>
          <w:tcPr>
            <w:tcW w:w="1184" w:type="dxa"/>
            <w:shd w:val="clear" w:color="auto" w:fill="auto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183" w:type="dxa"/>
            <w:shd w:val="clear" w:color="auto" w:fill="auto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183" w:type="dxa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sz w:val="24"/>
                <w:szCs w:val="24"/>
              </w:rPr>
              <w:t>406,5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 Улично-дорожная сеть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D5E" w:rsidRPr="00D541A6" w:rsidTr="00DF66EA">
        <w:trPr>
          <w:trHeight w:val="36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протяженность улиц, проездов, тротуаров и т.п., 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</w:tr>
      <w:tr w:rsidR="00A82D5E" w:rsidRPr="00D541A6" w:rsidTr="00DF66EA">
        <w:trPr>
          <w:trHeight w:val="359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бесхозные: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A82D5E" w:rsidRPr="00D541A6" w:rsidTr="00DF66EA">
        <w:trPr>
          <w:trHeight w:val="605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улиц, проездов, тротуаров,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</w:tr>
      <w:tr w:rsidR="00A82D5E" w:rsidRPr="00D541A6" w:rsidTr="00DF66EA">
        <w:trPr>
          <w:trHeight w:val="291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бесхозные: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</w:tr>
      <w:tr w:rsidR="00A82D5E" w:rsidRPr="00D541A6" w:rsidTr="00DF66EA">
        <w:trPr>
          <w:trHeight w:val="907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протяженность освещенных частей улиц, проездов, тротуаров, 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20,353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23,694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23,694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23,694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23,694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23,694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23,694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23,694</w:t>
            </w:r>
          </w:p>
        </w:tc>
      </w:tr>
      <w:tr w:rsidR="00A82D5E" w:rsidRPr="00D541A6" w:rsidTr="00DF66EA">
        <w:trPr>
          <w:trHeight w:val="342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бесхозные: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Остановочные павильоны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Светофорные объекты,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бесхозные: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Дорожные знаки, в то числе 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бесхозные: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A82D5E" w:rsidRPr="00D541A6" w:rsidTr="00DF66EA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A82D5E" w:rsidRPr="00D541A6" w:rsidRDefault="00A82D5E" w:rsidP="00DF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металлическое ограждение автодорог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  <w:tc>
          <w:tcPr>
            <w:tcW w:w="1183" w:type="dxa"/>
            <w:vAlign w:val="center"/>
          </w:tcPr>
          <w:p w:rsidR="00A82D5E" w:rsidRPr="00D541A6" w:rsidRDefault="00A82D5E" w:rsidP="00DF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7029,7</w:t>
            </w:r>
          </w:p>
        </w:tc>
      </w:tr>
    </w:tbl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82D5E" w:rsidRPr="00D541A6" w:rsidSect="00D541A6">
          <w:pgSz w:w="16840" w:h="11907" w:orient="landscape" w:code="9"/>
          <w:pgMar w:top="1276" w:right="993" w:bottom="851" w:left="1276" w:header="720" w:footer="720" w:gutter="0"/>
          <w:cols w:space="708"/>
          <w:titlePg/>
          <w:docGrid w:linePitch="326"/>
        </w:sectPr>
      </w:pP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1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к прогнозу социально-экономического развития</w:t>
      </w: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городского поселения Федоровский</w:t>
      </w: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на 2017 год и на плановый период 2018 и 2019 годов</w:t>
      </w: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D5E" w:rsidRPr="00D541A6" w:rsidRDefault="00A82D5E" w:rsidP="00A8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Прогноз социально-экономического  развития городского поселения Федоровский на 2017 год и на плановый период 2018 и 2019 годов сформирован в соответствии с Порядком разработки, корректировки, утверждения (одобрения) и осуществления мониторинга и контроля реализации прогноза социально-экономического развития городского поселения Федоровский, утвержденного постановлением администрации городского поселения Федоровский от 10.10.2016 №689-п «О порядке разработки, корректировки, утверждения (одобрения) и осуществления мониторинга и контроля реализации прогноза социально-экономического развития городского поселения Федоровский», с учетом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2017 год и на плановый период 2018 и 2019 годов.</w:t>
      </w:r>
    </w:p>
    <w:p w:rsidR="00A82D5E" w:rsidRPr="00D541A6" w:rsidRDefault="00A82D5E" w:rsidP="00A8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За исходные данные приняты итоги социально-экономического развития муниципального образования городского поселения Федоровский за 2015 год, информация представленная отраслевыми (функциональными) органами администрации Сургутского района, структурными подразделениями администрации городского поселения Федоровский, муниципальными учреждениями и предприятиями городского поселения Федоровский, хозяйствующими субъектами поселения, а также собственные расчеты.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 xml:space="preserve">Показатели прогноза социально-экономического развития городского поселения Федоровский на 2017 год и на плановый период 2018 и 2019 года разрабатываются на вариантной основе и формируются по видам экономической деятельности. 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>Базовый вариант среднесрочного прогноза характеризует основные тенденции и параметры развития экономики города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>Консервативный вариант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1. Демография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ближайшей перспективе демографическая ситуация в поселении будет определяться сложившейся структурой населения и мерами демографической политики, направленными на увеличение рождаемости и снижение смертности, принятыми и реализуемыми в автономном округе, стабильной экономической ситуацией и привлекательностью района для проживания и осуществления трудовой деятельности жителей других территорий.</w:t>
      </w:r>
    </w:p>
    <w:p w:rsidR="00A82D5E" w:rsidRPr="00D541A6" w:rsidRDefault="00A82D5E" w:rsidP="00A8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Учитывая относительно молодую структуру населения, естественный прирост останется основным фактором, определяющим рост численности населения. Миграционная составляющая будет играть менее значимую роль.</w:t>
      </w:r>
    </w:p>
    <w:p w:rsidR="00A82D5E" w:rsidRPr="00D541A6" w:rsidRDefault="00A82D5E" w:rsidP="00A8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lastRenderedPageBreak/>
        <w:t>По оценке среднегодовая численность населения поселения в 2016 году увеличится на 0,7% и составит 23,7 тыс. человек. Коэффициент естественного прироста по оценке составит около 14 на 1000 человек.</w:t>
      </w:r>
    </w:p>
    <w:p w:rsidR="00A82D5E" w:rsidRPr="00D541A6" w:rsidRDefault="00A82D5E" w:rsidP="00A8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Среднегодовая численность постоянного населения в 2017 году увеличится в обоих вариантах на 0,5% и составит 23,87 тыс. человек. Прирост населения по прогнозу сохранится и в последующие годы и среднегодовая численность составит: в 2018 году 23,99-24,00 тыс. человек, в 2019 году 24,12-24,14 тыс. человек по 1 и 2 вариантам, соответственно. </w:t>
      </w:r>
    </w:p>
    <w:p w:rsidR="00A82D5E" w:rsidRPr="00D541A6" w:rsidRDefault="00A82D5E" w:rsidP="00A8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По оценке 2016 года рождаемость составит 406 человек, что на 9,2% ниже чем в 2015 году. Количество рождений составит: 2017 год: 412-418 человек; 2018 год: 417-430 человек; 2019 год: 422-442 человека по 1 и 2 вариантам. Коэффициент рождаемости на 1000 человек составит в 2017 году: 17,30-17,55; в 2018 году: 17,42-17,96; в 2019 году: 17,54-18,36.</w:t>
      </w:r>
    </w:p>
    <w:p w:rsidR="00A82D5E" w:rsidRPr="00D541A6" w:rsidRDefault="00A82D5E" w:rsidP="00A8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Показатели смертности по оценке 2016 года составят 73 человека, что на 14,2% меньше чем в 2015 году. В 2017 году по прогнозу коэффициент смертности на 1000 человек составит 3,1 по обоим вариантам прогноза; в 2018 году: 3,1-3,10; в 2019 году: 3,1-3,1 по 1 и 2 вариантам соответственно.</w:t>
      </w:r>
    </w:p>
    <w:p w:rsidR="00A82D5E" w:rsidRPr="00D541A6" w:rsidRDefault="00A82D5E" w:rsidP="00A8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Коэффициент естественного прироста населения в итоге составит на 1000 человек в 2017 году: 14,20-14,45; в 2018 году: 14,33-14,87; в 2019 году: 14,46-15,24.</w:t>
      </w:r>
    </w:p>
    <w:p w:rsidR="00A82D5E" w:rsidRPr="00D541A6" w:rsidRDefault="00A82D5E" w:rsidP="00A8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прогнозируемом периоде миграционные процессы будут менее значительными, ежегодный миграционный отток будет варьироваться в пределах 217 человек.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D5E" w:rsidRPr="000D32CA" w:rsidRDefault="00A82D5E" w:rsidP="00A82D5E">
      <w:pPr>
        <w:pStyle w:val="a5"/>
        <w:numPr>
          <w:ilvl w:val="0"/>
          <w:numId w:val="23"/>
        </w:num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Производство товаров и услуг</w:t>
      </w:r>
    </w:p>
    <w:p w:rsidR="00A82D5E" w:rsidRPr="000D32CA" w:rsidRDefault="00A82D5E" w:rsidP="00A82D5E">
      <w:pPr>
        <w:pStyle w:val="a5"/>
        <w:rPr>
          <w:b/>
          <w:i/>
          <w:sz w:val="26"/>
          <w:szCs w:val="26"/>
        </w:rPr>
      </w:pP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>Производство сельскохозяйственной продукции на территории городского поселения Федоровский осуществляют крестьянско-фермерские хозяйства КФХ «Росток», КФХ «Подворье» и КФХ «Авангард». Основное направление деятельности животноводство, связанное с разведением крупного рогатого скота, свиней, птицы.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>По оценке в 2016 году производство сельскохозяйственной продукции составит 40 898 тыс. рублей или 104,6 % в сопоставимых ценах к уровню 2015 года.</w:t>
      </w:r>
    </w:p>
    <w:p w:rsidR="00A82D5E" w:rsidRPr="00D541A6" w:rsidRDefault="00A82D5E" w:rsidP="00A8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Крестьянские фермерские хозяйства с каждым годом наращивают объёмы производства основных видов продукции. Производство сельхозпродукции хозяйств по оценке в 2016 году составит: производство мяса – 210 тонн, производство молока - 382 тонны, производство яиц –374 штуки.</w:t>
      </w:r>
    </w:p>
    <w:p w:rsidR="00A82D5E" w:rsidRPr="00D541A6" w:rsidRDefault="00A82D5E" w:rsidP="00A8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прогнозируемый период ожидается положительная динамика развития крестьянских (фермерских) хозяйств.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>В 2017 году прогнозируется осуществить производство продукции сельского хозяйства на сумму 42861 тыс. рублей (104,8% к уровню 2016 года в сопоставимых ценах) - по 1 варианту и 43270 тыс. рублей (105,8% к уровню 2016 года) - по 2 варианту.</w:t>
      </w:r>
    </w:p>
    <w:p w:rsidR="00A82D5E" w:rsidRPr="00D541A6" w:rsidRDefault="00A82D5E" w:rsidP="00A8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2018 году по прогнозу производство продукции сельского хозяйства составит 44447 тыс. рублей (103,7% к уровню 2017 года в сопоставимых ценах) - по 1 варианту и 45347 тыс. рублей (104,8% к уровню 2017 года) - по 2 варианту.</w:t>
      </w:r>
    </w:p>
    <w:p w:rsidR="00A82D5E" w:rsidRPr="00D541A6" w:rsidRDefault="00A82D5E" w:rsidP="00A8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lastRenderedPageBreak/>
        <w:t>В 2019 году по 1 варианту развития объём произведенной продукции сельского хозяйства составит 45647 тыс. рублей (102,7% к уровню 2017 года), по второму варианту развития – 40033,2 тыс.  рублей (102,7% к уровню 2017 года).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b/>
          <w:i/>
          <w:sz w:val="26"/>
          <w:szCs w:val="26"/>
        </w:rPr>
        <w:t>3. Мало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е и среднее предпринимательство</w:t>
      </w: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Развитие малого и среднего бизнеса обеспечивает частичное решение проблемы занятости населения, насыщает потребительский рынок разнообразными товарами и услугами и обеспечивает поступление налогов в местный бюджет.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В 2016 году на территории городского поселения Федоровский осуществляют свою деятельность 168 предприятий малого и среднего бизнеса.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По оценке 2016 года предприятия торговли составят 36,9% от общего количества объектов потребительского рынка, объекты бытового обслуживания – 32,1%, предприятия общественного питания -8,9%.  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2016 году на территории городского поселения Федоровский функционирует 62 объекта розничной торговли общей торговой площадью 14 515,0 квадратных метров, в том числе 4 торговых центра, 34 магазина, 13 павильонов и 11 киосков.</w:t>
      </w:r>
      <w:r w:rsidRPr="00D541A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541A6">
        <w:rPr>
          <w:rFonts w:ascii="Times New Roman" w:eastAsia="Times New Roman" w:hAnsi="Times New Roman" w:cs="Times New Roman"/>
          <w:sz w:val="26"/>
          <w:szCs w:val="26"/>
        </w:rPr>
        <w:t>Обеспечением продовольственными товарами занимаются 30 объектов розничной торговли или 48,38% всей торговой сети поселения, 14 объектов торговли или 22,58% осуществляют реализацию непродовольственных товаров и 18 объектов или 29,03% занимаются продажей смешанных товаров.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Поставка товаров в предприятия розничной торговли осуществляется из Екатеринбурга, Тюмени, Челябинска, Омска, Нижневартовска, Сургута и других городов.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структуре оборота малых предприятий важное место занимает оптовая и розничная торговля, что обусловлено относительно быстрой окупаемостью вложенного капитала по сравнению с другими видами экономической деятельности.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Стабильному росту производства малого и среднего бизнеса способствуют объекты инфраструктуры для развития и укрепления деятельности, среди них Сургутская торгово-промышленная палата, Сургутский филиал ООО «Окружной Бизнес-Инкубатор, Сургутский филиал «Югорская лизинговая компания», Сургутский филиал окружного фонда поддержки предпринимательства.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Малым предприятиям и индивидуальным предпринимателям поселения в рамках поддержки малого и среднего бизнеса предлагается помощь в составлении бизнес-планов для новых и развивающихся предприятий, организовываются круглые столы для предприятий и предпринимателей с кредитными учреждениями.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>В целях повышения деловой активности малых предприятий, сохранение рабочих мест предприятиям малого бизнеса обеспечивается доступ к выполнению муниципальных закупок на поставку продукции, оказание услуг и выполнение работ для муниципальных нужд.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b/>
          <w:i/>
          <w:sz w:val="26"/>
          <w:szCs w:val="26"/>
        </w:rPr>
        <w:t>4. Рынок товаров и услуг</w:t>
      </w: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Потребность населения в продовольственных и непродовольственных товарах, услугах обеспечивается предприятиями торговли, общественного питания, бытового обслуживания различных форм собственности.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lastRenderedPageBreak/>
        <w:t>Стратегия развития потребительского рынка на территории поселения направлена на размещение различных типов предприятий, удовлетворяющих потребности жителей поселения с различными доходами, расширение услуг, предоставляемых населению и повышение качества оказываемых услуг.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2016 году по оценке оборот розничной торговли составит 2 452,8 млн. рублей, что составит в сопоставимых ценах 107,7% к уровню 2015 года.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прогнозный период 2017-2019 годов оборот розничной торговли в сопоставимых ценах по 1 и 2 вариантам к предыдущему году составит: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2017 году - 2575,4-2585,2 млн. руб. или 105,0-105,4%;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2018 году - 2681,0-2709,3 млн. руб. или 104,1-104,8%;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2019 году - 2782,9-2817,6 млн. руб. или 103,8-104,0%.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Общее количество предприятий общественного питания с учетом школьных столовых составит 15 единиц на 1231 посадочное место.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В прогнозном периоде существенных изменений в структуре сети общественного питания не прогнозируется.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По оценке в 2016 году оборот общественного питания составит 226,2 млн. рублей, или 107,7% к уровню 2015 года.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прогнозном периоде оборот общественного питания будет складываться следующим образом: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 2017 году по первому варианту прогноза -237,5 млн. рублей (105,0% к уровню 2016 года), по второму -238,4 млн. рублей (105,4% к уровню 2016 года);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 2018 году по первому варианту прогноза -247,2 млн. рублей (104,1% к уровню 2017 года), по второму -249,8 млн. рублей (104,8% к уровню 2017 года);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 2019 году по первому варианту прогноза -256,6 млн. рублей (103,8% к уровню 2018 года), по второму -259,8 млн. рублей (104,0% к уровню 2018 года).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На территории городского поселения Федоровский действует одна хлебопекарня мощностью 2,07 тонн хлеба и хлебобулочных изделий в сутки и 60 кг кондитерских изделий в сутки. Ассортимент производимых хлебобулочных изделий расширяется.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Продолжает развиваться рынок услуг: предоставляются кредиты на покупку мебели и бытовой техники, осуществляется доставка крупногабаритных товаров на дом, ремонт часов, обуви, сложнобытовой техники, оказываются фотоуслуги.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Основными направлениями в сфере бытового обслуживания населения является предоставление парикмахерских услуг – 33,3% от общего количества объектов бытового обслуживания, ремонт и пошив изделий – 16,7%.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Предприятия бытового обслуживания населения стремятся улучшить уровень обслуживания, расширить спектр оказываемых услуг, улучшая качество обслуживания, повышая квалификацию и профессиональный уровень обслуживающего персонала.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2016 году объем платных услуг по оценке составит 687,7 млн. рублей (107,2% к уровню 2016 года).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прогнозный период объем платных услуг в сопоставимых ценах по 1 и 2 вариантам к предыдущему году составит: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2017 году - 723,4-726,9 млн. руб. или 105,2-105,7%;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2018 году - 753,1-763,9 млн. руб. или 104,1-105,1%;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2019 году - 787,7-800,6 млн. руб. или 104,6-104,8 %.</w:t>
      </w: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5. Труд и занятость</w:t>
      </w: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82D5E" w:rsidRPr="00D541A6" w:rsidRDefault="00A82D5E" w:rsidP="00A8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Численность экономически активного населения поселения за 2016 год по оценке составит – 15 205 человек, что на 2,7% больше, чем за 2015 год.</w:t>
      </w:r>
    </w:p>
    <w:p w:rsidR="00A82D5E" w:rsidRPr="00D541A6" w:rsidRDefault="00A82D5E" w:rsidP="00A8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Оценивая ситуацию на рынке труда в 2016 году, численность занятых в экономике будет составлять 13 304 человека. 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>Среднегодовая численность, занятых в экономике достигнет: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 2017 году: по 1 варианту прогноза 13 330 человек (рост на 0,2% к оценке 2016 года), по 2 варианту – 13 356 человек (рост на 0,4%);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 2018 году: по 1 варианту -  13 356 человек (рост на 0,2% к 2017 году), по 2 варианту – 13 437 человек (рост на 0,6%);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 2019 году: по 1 варианту 13 383 человека (рост на 0,2% к 2018 году), по 2 варианту – 13 504 человека (на 0,5%).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color w:val="000000"/>
          <w:sz w:val="26"/>
        </w:rPr>
        <w:tab/>
        <w:t>Проблема рынка труда – это профессионально-квалификационный дисбаланс спроса и предложения рабочей силы, в том числе несоответствие профессионально-квалификационной структуры безработных граждан имеющимся вакансиям. Можно выделить три наиболее уязвимые по отношению к занятости группы населения: молодежь, женщины, инвалиды.</w:t>
      </w:r>
      <w:r w:rsidRPr="00D541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Так структура рынка труда по оценке 2016 года складывается следующим образом: количество безработных женщин – 16 человек, молодежь в возрасте до 30 лет – 4 человека, инвалиды – 4 человека.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>Количество зарегистрированных безработных в службе занятости населения по оценке 2016 года составит 21 человек, что на 4,6% меньше, чем в 2015 года.</w:t>
      </w:r>
    </w:p>
    <w:p w:rsidR="00A82D5E" w:rsidRPr="00D541A6" w:rsidRDefault="00A82D5E" w:rsidP="00A8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Уровень регистрируемой безработицы в 2017-2019 годах не превысит 0,2% от экономически активного населения и составит 20 человек. 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>В прогнозный период основной задачей центра занятости населения будет, как и прежде, реализация мероприятий по трудоустройству населения, профессиональной ориентации, профессиональному обучению и материальной поддержки безработных граждан.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A82D5E" w:rsidRPr="00D541A6" w:rsidRDefault="00A82D5E" w:rsidP="00A82D5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b/>
          <w:i/>
          <w:sz w:val="26"/>
          <w:szCs w:val="26"/>
        </w:rPr>
        <w:t>6. Денежные доходы и расходы населения</w:t>
      </w:r>
    </w:p>
    <w:p w:rsidR="00A82D5E" w:rsidRPr="00D541A6" w:rsidRDefault="00A82D5E" w:rsidP="00A82D5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Размер доходов населения является показателем его благосостояния, основным фактором в реализации потребностей в товарах, услугах, отдыхе, получении образования, поддержания здоровья и прочих. 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>По оценке 2016 года совокупность денежных доходов населения вырастет по сравнению с 2015 годом на 5,3%, за счет роста заработной платы, размера социальных трансфертов (пенсий и пособий). Всего денежные доходы населения поселения составят 10 078,9 млн. рублей.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Из общей суммы денежных доходов населения за 2016 год: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оплата труда составит -9386,3 млн. рублей;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социальные выплаты составят –535,7 млн. рублей;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другие доходы (от собственности, проценты по депозитам и т.д.) -156,9 млн.рублей.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 xml:space="preserve">Денежные доходы на 1 жителя поселения составят по оценке за 2016 год 35,4 тыс. рублей, увеличившись по сравнению с 2015 годом на 4,1%. 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>По оценке в 2016 году начисленная среднемесячная заработная плата на одного работника по поселению составит около 58,8 тыс. рублей или 4,8% к уровню 2015 года.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>В структуре денежных расходов в оценочном году и прогнозном периоде значительных изменений не произойдёт, большая часть из них по-прежнему будут составлять потребительские расходы.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>Денежные расходы в 2016 году по оценке увеличатся на 7,4% по отношению к 2015 году. В общем объёме расходов наибольший удельный вес имеют потребительские расходы, которые в 2016 году составят 83,6% и увеличится на 7,5 процентных пункта к 2015 году.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 xml:space="preserve">В оценочном и прогнозном периодах сохранится сложившаяся и характерная для поселения тенденция превышения доходов населения над расходами.  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Денежные доходы населения в прогнозируемом периоде: 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 2017 году составят 10509,3 млн. рублей (4,2 % от оценки 2016 года) по 1 варианту прогноза и вырастут до 10690,7 млн. рублей (на 6,1%) по 2 варианту;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 2018 году вырастут до 11032,6 млн. рублей (на 4,9% к 2017 году) по 1 варианту и до 11240,0 млн. рублей (на 5,1%) по 2 варианту прогноза;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 2019 году вырастут до 11801,1 млн. рублей (на 6,9% к 2018 году) по 1 варианту прогноза и по 2 варианту до 11837,4 млн. рублей (на 5,3% к 2018 году).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  <w:t>Расходы населения в 2017 - 2019 годах будут увеличиваться по обоим вариантам прогноза: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 2017 году на 5,1% к 2016 году по 1 варианту прогноза, что составит 8388,2 млн. рублей и на 7,7% по 2 варианту, что составит 8591,1 млн. рублей;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 2018 году на 4,1% к 2017 году по 1 варианту прогноза, что составит 8730,2 млн. рублей и на 5,6% по 2 варианту 9070,2 млн. рублей;</w:t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 2019 году на 4% к 2018 году по 1 варианту прогноза, что составит 9084,2 млн. рублей и на 5,4% по 2 варианту 9557,8 млн. рублей.</w:t>
      </w:r>
      <w:r w:rsidRPr="00D541A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82D5E" w:rsidRPr="00D541A6" w:rsidRDefault="00A82D5E" w:rsidP="00A82D5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b/>
          <w:i/>
          <w:sz w:val="26"/>
          <w:szCs w:val="26"/>
        </w:rPr>
        <w:t>7. Развитие социальной сферы</w:t>
      </w:r>
    </w:p>
    <w:p w:rsidR="00A82D5E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7.1. Образование.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Система образования на территории городского поселения Федоровский в целом характеризуется стабильностью и устойчивостью, разнообразием образовательных учреждений, наличием нормативной правовой базы. Она представляет собой разнообразную, многофункциональную сеть учреждений образования, позволяющую удовлетворять запросы населения в соответствии с интересами и склонностями детей.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Приоритетными направлениями в деятельности образовательных учреждений являются: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повышение качества образования;</w:t>
      </w:r>
    </w:p>
    <w:p w:rsidR="00A82D5E" w:rsidRPr="00D541A6" w:rsidRDefault="00A82D5E" w:rsidP="00A82D5E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формирование и организация работы управляющих советов общеобразовательных учреждений;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внедрение информационных технологий в целях развития учебного процесса и усовершенствования организационно-управленческих технологий;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обеспечение доступности дошкольного образования;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обеспечение преемственности в дошкольном и начальном общем образовании;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оптимизация сети образовательных учреждений.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настоящее время в поселении функционируют 13 муниципальных образовательных учреждений, где обучается и воспитывается более 8 727 человек. Осуществляют образовательный процесс 399 человек.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lastRenderedPageBreak/>
        <w:t>7.1.1. Дошкольное образование.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Одним из приоритетных направлений деятельности дошкольных образовательных учреждений являются: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организация предоставления и обеспечения общедоступного бесплатного дошкольного образования на территории поселения;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повышение качества дошкольного образования;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сохранение и укрепление здоровья детей дошкольного возраста.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В связи с реорганизацией муниципальных бюджетных дошкольных образовательных учреждений путем присоединения МБДОУ </w:t>
      </w:r>
      <w:r w:rsidRPr="00D541A6">
        <w:rPr>
          <w:rFonts w:ascii="Times New Roman" w:eastAsia="Times New Roman" w:hAnsi="Times New Roman" w:cs="Times New Roman"/>
          <w:bCs/>
          <w:sz w:val="26"/>
          <w:szCs w:val="26"/>
        </w:rPr>
        <w:t>детский</w:t>
      </w: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1A6">
        <w:rPr>
          <w:rFonts w:ascii="Times New Roman" w:eastAsia="Times New Roman" w:hAnsi="Times New Roman" w:cs="Times New Roman"/>
          <w:bCs/>
          <w:sz w:val="26"/>
          <w:szCs w:val="26"/>
        </w:rPr>
        <w:t>сад</w:t>
      </w: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 общеразвивающего вида "</w:t>
      </w:r>
      <w:r w:rsidRPr="00D541A6">
        <w:rPr>
          <w:rFonts w:ascii="Times New Roman" w:eastAsia="Times New Roman" w:hAnsi="Times New Roman" w:cs="Times New Roman"/>
          <w:bCs/>
          <w:sz w:val="26"/>
          <w:szCs w:val="26"/>
        </w:rPr>
        <w:t>Сказка</w:t>
      </w: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" к МБДОУ </w:t>
      </w:r>
      <w:r w:rsidRPr="00D541A6">
        <w:rPr>
          <w:rFonts w:ascii="Times New Roman" w:eastAsia="Times New Roman" w:hAnsi="Times New Roman" w:cs="Times New Roman"/>
          <w:bCs/>
          <w:sz w:val="26"/>
          <w:szCs w:val="26"/>
        </w:rPr>
        <w:t>детскому</w:t>
      </w: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1A6">
        <w:rPr>
          <w:rFonts w:ascii="Times New Roman" w:eastAsia="Times New Roman" w:hAnsi="Times New Roman" w:cs="Times New Roman"/>
          <w:bCs/>
          <w:sz w:val="26"/>
          <w:szCs w:val="26"/>
        </w:rPr>
        <w:t>саду</w:t>
      </w: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 общеразвивающего вида "Белочка» и МБДОУ детский сад общеразвивающего вида «Солнышко» к МБДОУ детский сад общеразвивающего вида «Умка» на сегодняшний день в поселении функционирует 7 дошкольных образовательных учреждений, которые посещают 1962 ребенка, и работает 152 воспитателя, что на 2 учреждения меньше по сравнению с 2015г. 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Сохраняется система государственных гарантий по родительской плате за содержание детей. Родительский взнос за содержания ребенка составляет 135 рублей в день. Кроме того, отдельной категории родителей предоставляются льготы по оплате за детский сад.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7.1.2. Среднее общее образование.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систему школьного образования городского поселения Федоровский входят 4 муниципальных общеобразовательных учреждения, в том числе: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- 3 средние образовательные школы;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- 1 начальная образовательная школа.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По оценке в 2016 году в общеобразовательных учреждениях городского поселения Федоровский обучается 3 225 человек. В школах городского поселения Федоровский работает 195 учителей.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2016 году продолжается работа по созданию условий для самоопределения учащихся 9 классов по выбору профиля дальнейшего обучения: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организованы и ведутся элективные курсы по выбору учащихся для выявления интересов, склонностей, способностей и возможностей учащихся;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ведется информационная и профориентационная работа с учащимися девятых классов о потребностях рынка труда, возможностях получения профессионального образования (начального, среднего, высшего), организовано профильное обучение в 10-11 профильных классах;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проводятся экскурсии на ярмарки учебных мест и в учреждения профессионального образования.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7.1.3. Дополнительное образование.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настоящее время в систему дополнительного образования в городском поселении входят два муниципальных учреждения: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1) Федоровский дом детского творчества.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учреждении созданы необходимые условия для организации учебно-воспитательного процесса. Образовательный процесс обеспечен реализацией общеобразовательных программ по 5 направлениям: художественно-эстетическое, эколого-биологическое, социально-педагогическое, спортивное, техническое.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Имеется пять функционально-пригодных кабинетов для учебной работы: «Игротека», «Творческая мастерская», «Живой уголок», «ИЗО - студия», «Кабинет творческого развития». В учреждении есть доступ в Интернет. В учреждении </w:t>
      </w:r>
      <w:r w:rsidRPr="00D541A6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работают 23 педагога дополнительного образования. Обучается в 2016 году 1 700 воспитанников.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2) Федоровский центр дополнительного образования.</w:t>
      </w:r>
    </w:p>
    <w:p w:rsidR="00A82D5E" w:rsidRPr="00D541A6" w:rsidRDefault="00A82D5E" w:rsidP="00A82D5E">
      <w:pPr>
        <w:tabs>
          <w:tab w:val="left" w:pos="169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В учреждении создана материально - техническая база, которая обеспечивает организацию образовательного процесса по реализации программ профессиональной подготовки по 9 специальностям, а также программ научно-технического, социально-педагогического, художественно-эстетического направлений. В настоящее время в центре работают 29 педагогов. Из 3 225 учащихся общеобразовательных учреждений городского поселения Федоровский 1 840 человек обучается в центре дополнительного образования. Ежегодно более 100 учащихся получают квалификационные свидетельства. </w:t>
      </w:r>
    </w:p>
    <w:p w:rsidR="00A82D5E" w:rsidRPr="00D541A6" w:rsidRDefault="00A82D5E" w:rsidP="00A82D5E">
      <w:pPr>
        <w:tabs>
          <w:tab w:val="left" w:pos="169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прогнозный период 2017-2019 годах должна произойти реорганизация МБОУ ДО «Федоровский Дом детского творчества» путем присоединения к МАУ ДО «Федоровский ЦДО».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7.2. Здравоохранение.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система здравоохранения городского поселения Федоровский представлена бюджетным учреждением Ханты-Мансийского автономного округа-Югры «Федоровская городская больница», которое является одним из крупных лечебных учреждений Сургутского района.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Коечный фонд стационара, в состав которого входит отделение оказания экстренной помощи с приемным покоем, в 2016 году составляет 92 койки, в том числе 68 коек круглосуточного стационара, 24 койки дневного стационара. Мощность амбулаторно-поликлинического учреждения составляет 301 посещение в смену.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Численность работающих в БУ «Федоровская городская больница» составляет 495 человек, из них 66 врачей, 250 человек среднего медицинского персонала.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БУ «Федоровская городская больница» для лечения больных функционируют: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1) Отделение скорой медицинской помощи.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По оценке в 2016 году отделение обслужит 8 288 человека. Количество вызовов на одного жителя составит 0,35. В прогнозный период 2017-2019 годов увеличение количества вызовов не прогнозируется.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2) Взрослая и детская поликлиника, женская консультация, стоматологическое и лечебно-диагностическое отделение - с плановой мощностью 301 посещение в смену. Нормативное количество посещений в год при шестидневной рабочей неделе составляет 74 949 посещений.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Анализ показывает, что фактическое посещение превышает нормативное количество в 2 раза, что говорит о недостаточной обеспеченности площадями учреждения здравоохранения.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В прогнозируемом периоде 2017-2019 годах количество посещений останется на уровне 2016 года и составит 155,7 тыс. посещений.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Первоочередными задачами на ближайшие годы в сфере здравоохранения являются: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введение дополнительных штатных единиц узких специалистов для проведения дополнительной диспансеризации;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lastRenderedPageBreak/>
        <w:t>- увеличение объема оказания медицинских услуг на догоспитальном этапе, развитие профилактической направленности оказания первичной медицинской помощи.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7.3. Культура.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На территории городского поселения сеть учреждений культуры представляет собой комплекс, ориентированный на удовлетворение культурных и духовных потребностей жителей поселения.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На сегодняшний день сеть учреждений культуры состоит из двух учреждений, в том числе: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- Муниципальное автономное учреждение культуры «Культурно-досуговый центр «Премьер»;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Муниципальное бюджетное образовательное учреждение дополнительного образования детей «Федоровская детская школа искусств».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7.3.1. Муниципальное автономное учреждение культуры «Культурно-досуговый центр «Премьер».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В 2016 году будет проведено 320 мероприятия, которыми будет охвачено 41 100 человек. В учреждении функционируют 19 коллективов и клубных формирований, в которых принимают участие 370 человек.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Для привлечения пользователей в библиотеки ежегодно проводиться более 100 культурно-просветительских мероприятий, в которых участвуют около 3500 человек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Основной задачей библиотеки является привлечение читателей в библиотеку с помощью рекламы, информации о мероприятиях, создание условий для свободного доступа жителей поселения к электронным ресурсам и сети Интернет.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В 2016 году число посещений составит 19 400 посещений. Количество пользователей – 3 457 человек. Книговыдача составит 63516 экземпляров. Проведение массовых мероприятий составит 110 мероприятий.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На начало 2016 года книжный фонд учреждения составлял 28,67 тыс. экземпляров. В 2016 году произойдет списание книжного фонда на 758 экземпляров, но в течении прогнозного периода 2017-2019 годов планируется увеличение библиотечного фонда за счет пополнения (комплектования) фондовых материалов на 3,6 тыс. экземпляров. В результате книжный фонд составит 31,51 тыс. экземпляров по двум вариантам прогноза.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7.3.2. Муниципальное образовательное учреждение дополнительного образования детей «Федоровская детская школа искусств».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Основным направлением деятельности детской школы искусств являются эстрадное отделение, фортепиано, народные инструменты, художественное и хореографическое отделения. В последние годы растет спрос на отделения с групповыми занятиями: художественное, эстетическое, хоровое, что способствует увеличению охвата учащихся на той же материально-технической базе. В 2016 году в школе обучается 345 учащихся. В школе работает 35 человек из них 21 преподаватель.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прогнозируемый период 2017-2019 годы увеличение количества обучающихся не планируется. Число преподавателей в прогнозируемый период 2017-2019 года останется на прежнем уровне.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7.4. Физическая культура и спорт.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lastRenderedPageBreak/>
        <w:t>Спорт представлен муниципальным автономным учреждением «Федоровский спортивно-оздоровительный центр» с 2-мя спортивными залами, тренажерным залом и бассейном.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Кроме того, имеются плоскостные спортивные сооружения: 3 футбольных поля, 3 хоккейных корта с обустроенными пунктами проката.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Всего на территории городского поселения Федоровский насчитывается 50 спортивных сооружений, в том числе: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плоскостных сооружений 23 единицы, общей площадью 17,9 тыс. квадратных метров (в том числе 3 хоккейных корта площадью 4 097 кв.м. и 3 футбольных поля с площадью покрытия 8944 кв.м.);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спортивных залов 24 единицы, общей площадью 3,9 тыс. квадратных метров;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плавательный бассейн – 2 единицы, площадью 132 квадратных метра зеркала;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- лыжная база – 1 единица, с трассой протяженностью 5 км и с лыжероллерной трассой со специальным покрытием и освещением протяженностью 1,5 км. Пропускная способность лыжной базы составляет 14 400 человек в год.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посещают спортивные сооружения 6 100 человек. Процент занимающихся спортом в общем числе постоянного населения составляет 25,7%.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В МАУ «Федоровский спортивно-оздоровительный центр» работает общеоздоровительная группа и группа по адаптивной физической культуре.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2016 году на территории городского поселения Федоровский будет проведено 61 спортивное мероприятие. Всего в поселковых мероприятиях в 2016 году по оценке будет задействовано 4 930 человек, что на 30 человек больше чем в 2015 году.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7.5. Молодежная политика.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 сфере молодежной политики основной задачей является создание условий и возможностей для успешной и эффективной самореализации молодежи, развития ее потенциала, социального становления, развития молодежных инициатив и общественных объединений. На сегодняшний день на территории городского поселения Федоровский действуют 11 молодежных объединений, движений, в которых принимают участие 750 человек.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По оценке в 2016 году будет проведено 54 мероприятий с участием молодежи, из них 36 поселковых мероприятий, 10 – районных и 8 – окружных.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Приоритетами молодежной политики является активизация участия молодежи в окружных и районных мероприятиях, организация работы с детьми и молодежью по месту жительства, воспитание гражданственности и патриотизма, развития семейных форм досуга.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ab/>
      </w:r>
      <w:r w:rsidRPr="00D541A6">
        <w:rPr>
          <w:rFonts w:ascii="Times New Roman" w:eastAsia="Times New Roman" w:hAnsi="Times New Roman" w:cs="Times New Roman"/>
          <w:sz w:val="26"/>
          <w:szCs w:val="26"/>
        </w:rPr>
        <w:tab/>
      </w:r>
      <w:r w:rsidRPr="00D541A6">
        <w:rPr>
          <w:rFonts w:ascii="Times New Roman" w:eastAsia="Times New Roman" w:hAnsi="Times New Roman" w:cs="Times New Roman"/>
          <w:sz w:val="26"/>
          <w:szCs w:val="26"/>
        </w:rPr>
        <w:tab/>
      </w:r>
      <w:r w:rsidRPr="00D541A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82D5E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b/>
          <w:i/>
          <w:sz w:val="26"/>
          <w:szCs w:val="26"/>
        </w:rPr>
        <w:t>8. Городское хозяйство</w:t>
      </w:r>
    </w:p>
    <w:p w:rsidR="00A82D5E" w:rsidRPr="00D541A6" w:rsidRDefault="00A82D5E" w:rsidP="00A8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1A6">
        <w:rPr>
          <w:rFonts w:ascii="Times New Roman" w:eastAsia="Calibri" w:hAnsi="Times New Roman" w:cs="Times New Roman"/>
          <w:sz w:val="26"/>
          <w:szCs w:val="26"/>
        </w:rPr>
        <w:t>Жилищно-коммунальный комплекс – это многоотраслевой производственно-технологический комплекс, основными задачами которого является дальнейшее жизнеобеспечение населения, формирование эффективной, конкурентоспособной системы хозяйствования, обеспечивающей качество предоставляемых жилищно-коммунальных услуг.</w:t>
      </w:r>
    </w:p>
    <w:p w:rsidR="00A82D5E" w:rsidRPr="00D541A6" w:rsidRDefault="00A82D5E" w:rsidP="00A82D5E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1A6">
        <w:rPr>
          <w:rFonts w:ascii="Times New Roman" w:eastAsia="Calibri" w:hAnsi="Times New Roman" w:cs="Times New Roman"/>
          <w:sz w:val="26"/>
          <w:szCs w:val="26"/>
        </w:rPr>
        <w:lastRenderedPageBreak/>
        <w:t>Производственная структура жилищно-коммунального хозяйства обеспечивает виды деятельности по:</w:t>
      </w:r>
    </w:p>
    <w:p w:rsidR="00A82D5E" w:rsidRPr="00D541A6" w:rsidRDefault="00A82D5E" w:rsidP="00A82D5E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1A6">
        <w:rPr>
          <w:rFonts w:ascii="Times New Roman" w:eastAsia="Calibri" w:hAnsi="Times New Roman" w:cs="Times New Roman"/>
          <w:sz w:val="26"/>
          <w:szCs w:val="26"/>
        </w:rPr>
        <w:t>-теплоснабжению;</w:t>
      </w:r>
    </w:p>
    <w:p w:rsidR="00A82D5E" w:rsidRPr="00D541A6" w:rsidRDefault="00A82D5E" w:rsidP="00A82D5E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1A6">
        <w:rPr>
          <w:rFonts w:ascii="Times New Roman" w:eastAsia="Calibri" w:hAnsi="Times New Roman" w:cs="Times New Roman"/>
          <w:sz w:val="26"/>
          <w:szCs w:val="26"/>
        </w:rPr>
        <w:t>-холодному, горячему водоснабжению;</w:t>
      </w:r>
    </w:p>
    <w:p w:rsidR="00A82D5E" w:rsidRPr="00D541A6" w:rsidRDefault="00A82D5E" w:rsidP="00A82D5E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1A6">
        <w:rPr>
          <w:rFonts w:ascii="Times New Roman" w:eastAsia="Calibri" w:hAnsi="Times New Roman" w:cs="Times New Roman"/>
          <w:sz w:val="26"/>
          <w:szCs w:val="26"/>
        </w:rPr>
        <w:t>-водоотведению;</w:t>
      </w:r>
    </w:p>
    <w:p w:rsidR="00A82D5E" w:rsidRPr="00D541A6" w:rsidRDefault="00A82D5E" w:rsidP="00A82D5E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1A6">
        <w:rPr>
          <w:rFonts w:ascii="Times New Roman" w:eastAsia="Calibri" w:hAnsi="Times New Roman" w:cs="Times New Roman"/>
          <w:sz w:val="26"/>
          <w:szCs w:val="26"/>
        </w:rPr>
        <w:t xml:space="preserve">-содержанию и текущему ремонту многоквартирных домов.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1A6">
        <w:rPr>
          <w:rFonts w:ascii="Times New Roman" w:eastAsia="Calibri" w:hAnsi="Times New Roman" w:cs="Times New Roman"/>
          <w:sz w:val="26"/>
          <w:szCs w:val="26"/>
        </w:rPr>
        <w:t>8.1. Жилищный фонд.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Жилищный фонд городского поселения Федоровский составляют дома в капитальном и деревянном исполнении.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Жилищный фонд городского поселения Федоровский в 2016 году представлен 284 жилыми домами общей площадью 460,84 тыс. кв. метров, в том числе в деревянном исполнении общей площадью 149,62 тыс. кв. метров. Муниципальный жилищный фонд составляет 12,9 тыс. кв. метров или 2,7% от общей площади жилфонда.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Уменьшение площади муниципального жилищного фонда произошло в связи с приватизацией муниципального жилищного фонда.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Обеспеченность жильем в среднем на одного жителя составляет 19,4 квадратных метров.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Жилищный фонд поселения обслуживает МУП «Федоровское ЖКХ».  Жилищный фонд имеет полную степень благоустройства (центральное отопление, холодное и горячее водоснабжение, централизованная канализация).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По оценке 2016 года количество многоквартирных жилых домов увеличится на 1 единицу, в связи с вводом в эксплуатацию жилого дома по ул. Савуйская. Таким образом, жилищный фонд увеличится и составит 284 единиц, общей площадью 460,84 тыс. м</w:t>
      </w:r>
      <w:r w:rsidRPr="00D541A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Основной проблемой остается снос ветхого и фенольного жилья.  В 2016 году количество жилья непригодного для проживания уменьшится на 1 единицу, в связи со сносом жилого дома по ул. Пионерная, 43 общей площадью 903,8 м</w:t>
      </w:r>
      <w:r w:rsidRPr="00D541A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D541A6">
        <w:rPr>
          <w:rFonts w:ascii="Times New Roman" w:eastAsia="Times New Roman" w:hAnsi="Times New Roman" w:cs="Times New Roman"/>
          <w:sz w:val="26"/>
          <w:szCs w:val="26"/>
        </w:rPr>
        <w:t>, и составит 57 единиц площадью 49,8 тыс. м</w:t>
      </w:r>
      <w:r w:rsidRPr="00D541A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. Доля ветхого и непригодного для проживания жилья на территории поселения составляет 13,8%.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Учитывая большой износ жилищного фонда, возникает объективная необходимость проведения текущих и капитальных ремонтов жилищного фонда. 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41A6">
        <w:rPr>
          <w:rFonts w:ascii="Times New Roman" w:eastAsia="Calibri" w:hAnsi="Times New Roman" w:cs="Times New Roman"/>
          <w:sz w:val="26"/>
          <w:szCs w:val="26"/>
        </w:rPr>
        <w:t>8.2. Коммунальный комплекс.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обеспечение населения и организации городского поселения Федоровский коммунальными услугами осуществляет МУП «Федоровское ЖКХ». </w:t>
      </w:r>
    </w:p>
    <w:p w:rsidR="00A82D5E" w:rsidRPr="00D541A6" w:rsidRDefault="00A82D5E" w:rsidP="00A8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Теплоснабжение городского поселения Федоровский осуществляется от муниципальной котельной мощностью 112,12 Гкал/ч. Число центральных тепловых пунктов – 14 единиц, общая протяженность тепловых сетей городского поселения Федоровский в двухтрубном исчислении составляет 46,84 км. </w:t>
      </w:r>
    </w:p>
    <w:p w:rsidR="00A82D5E" w:rsidRPr="00D541A6" w:rsidRDefault="00A82D5E" w:rsidP="00A8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   Водоснабжение обеспечивается водоочистным сооружением мощностью 16 000м³/сут., протяженность водопроводных сетей – 35,9 км.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Водоотведение осуществляется при помощи канализационной насосной станции мощностью 14 000м³/сут. путем перекачки на канализационно-очистные сооружения для очистки и обеззараживания сточных вод. Протяженность сетей – 39,59 км.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 xml:space="preserve">Постоянно проводится работа, направленная на установку общедомовых приборов учета, что позволит выявить непроизводительные потери в сетях, более </w:t>
      </w:r>
      <w:r w:rsidRPr="00D541A6">
        <w:rPr>
          <w:rFonts w:ascii="Times New Roman" w:eastAsia="Times New Roman" w:hAnsi="Times New Roman" w:cs="Times New Roman"/>
          <w:sz w:val="26"/>
          <w:szCs w:val="26"/>
        </w:rPr>
        <w:lastRenderedPageBreak/>
        <w:t>точно планировать объемы потребляемых коммунальных услуг, а также послужит поводом для более экономного расхода коммунальных услуг населением.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Реализация мероприятий в сфере коммунального комплекса, а также установление регулирующими органами предельных индексов изменения тарифов и установления предельных индексов изменения платы граждан за коммунальные услуги позволяет сдерживать рост тарифов на коммунальные услуги.</w:t>
      </w:r>
    </w:p>
    <w:p w:rsidR="00A82D5E" w:rsidRPr="00D541A6" w:rsidRDefault="00A82D5E" w:rsidP="00A82D5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1A6">
        <w:rPr>
          <w:rFonts w:ascii="Times New Roman" w:eastAsia="Times New Roman" w:hAnsi="Times New Roman" w:cs="Times New Roman"/>
          <w:sz w:val="26"/>
          <w:szCs w:val="26"/>
        </w:rPr>
        <w:t>Ситуация с ростом задолженности населения за жилищно-коммунальные услуги в поселении остается напряженной. На конец 2015 года просроченная задолженность населения составила 67,6 млн. руб. Прогнозируемая задолженность населения за жилищно-коммунальные услуги на конец 2016 года уменьшится на 29,8% и составит 47,5 млн. руб.</w:t>
      </w: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D5E" w:rsidRPr="00D541A6" w:rsidRDefault="00A82D5E" w:rsidP="00A82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B2E29" w:rsidRDefault="00CB2E29"/>
    <w:sectPr w:rsidR="00CB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A6" w:rsidRDefault="00CB2E29" w:rsidP="00D541A6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30</w:t>
    </w:r>
    <w:r>
      <w:rPr>
        <w:rStyle w:val="afa"/>
      </w:rPr>
      <w:fldChar w:fldCharType="end"/>
    </w:r>
  </w:p>
  <w:p w:rsidR="00D541A6" w:rsidRDefault="00CB2E29" w:rsidP="00D541A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A6" w:rsidRDefault="00CB2E29" w:rsidP="00D541A6">
    <w:pPr>
      <w:pStyle w:val="af"/>
      <w:framePr w:wrap="around" w:vAnchor="text" w:hAnchor="margin" w:xAlign="right" w:y="1"/>
      <w:rPr>
        <w:rStyle w:val="afa"/>
      </w:rPr>
    </w:pPr>
  </w:p>
  <w:p w:rsidR="00D541A6" w:rsidRDefault="00CB2E29" w:rsidP="00D541A6">
    <w:pPr>
      <w:pStyle w:val="af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49B"/>
    <w:multiLevelType w:val="hybridMultilevel"/>
    <w:tmpl w:val="5886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0F636F95"/>
    <w:multiLevelType w:val="hybridMultilevel"/>
    <w:tmpl w:val="172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4E80"/>
    <w:multiLevelType w:val="hybridMultilevel"/>
    <w:tmpl w:val="172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3D5D"/>
    <w:multiLevelType w:val="hybridMultilevel"/>
    <w:tmpl w:val="172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16C6"/>
    <w:multiLevelType w:val="hybridMultilevel"/>
    <w:tmpl w:val="0CD0DFCA"/>
    <w:lvl w:ilvl="0" w:tplc="07F2384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325915"/>
    <w:multiLevelType w:val="multilevel"/>
    <w:tmpl w:val="04FC98D8"/>
    <w:lvl w:ilvl="0">
      <w:start w:val="1"/>
      <w:numFmt w:val="decimal"/>
      <w:lvlText w:val="%1."/>
      <w:lvlJc w:val="left"/>
      <w:pPr>
        <w:ind w:left="109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8">
    <w:nsid w:val="1A5A1BEC"/>
    <w:multiLevelType w:val="hybridMultilevel"/>
    <w:tmpl w:val="172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920"/>
    <w:multiLevelType w:val="hybridMultilevel"/>
    <w:tmpl w:val="123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D3E4B"/>
    <w:multiLevelType w:val="multilevel"/>
    <w:tmpl w:val="D5F01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1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B0E10"/>
    <w:multiLevelType w:val="multilevel"/>
    <w:tmpl w:val="5D8C3436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B0583"/>
    <w:multiLevelType w:val="multilevel"/>
    <w:tmpl w:val="483CB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45185F43"/>
    <w:multiLevelType w:val="hybridMultilevel"/>
    <w:tmpl w:val="172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0173B14"/>
    <w:multiLevelType w:val="multilevel"/>
    <w:tmpl w:val="82569B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3AA6DE0"/>
    <w:multiLevelType w:val="multilevel"/>
    <w:tmpl w:val="37A6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566670D"/>
    <w:multiLevelType w:val="multilevel"/>
    <w:tmpl w:val="6596C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5846461"/>
    <w:multiLevelType w:val="hybridMultilevel"/>
    <w:tmpl w:val="172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F3E59"/>
    <w:multiLevelType w:val="hybridMultilevel"/>
    <w:tmpl w:val="172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C7D26"/>
    <w:multiLevelType w:val="multilevel"/>
    <w:tmpl w:val="910639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1B63BA9"/>
    <w:multiLevelType w:val="hybridMultilevel"/>
    <w:tmpl w:val="60700AF8"/>
    <w:lvl w:ilvl="0" w:tplc="BC407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C51FF"/>
    <w:multiLevelType w:val="singleLevel"/>
    <w:tmpl w:val="B39E47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3925D0"/>
    <w:multiLevelType w:val="multilevel"/>
    <w:tmpl w:val="50DA3BD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329FE"/>
    <w:multiLevelType w:val="hybridMultilevel"/>
    <w:tmpl w:val="172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E3462"/>
    <w:multiLevelType w:val="hybridMultilevel"/>
    <w:tmpl w:val="172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72B41"/>
    <w:multiLevelType w:val="multilevel"/>
    <w:tmpl w:val="454E3BD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8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0"/>
  </w:num>
  <w:num w:numId="4">
    <w:abstractNumId w:val="12"/>
  </w:num>
  <w:num w:numId="5">
    <w:abstractNumId w:val="37"/>
  </w:num>
  <w:num w:numId="6">
    <w:abstractNumId w:val="15"/>
  </w:num>
  <w:num w:numId="7">
    <w:abstractNumId w:val="3"/>
  </w:num>
  <w:num w:numId="8">
    <w:abstractNumId w:val="28"/>
  </w:num>
  <w:num w:numId="9">
    <w:abstractNumId w:val="25"/>
  </w:num>
  <w:num w:numId="10">
    <w:abstractNumId w:val="31"/>
  </w:num>
  <w:num w:numId="11">
    <w:abstractNumId w:val="32"/>
  </w:num>
  <w:num w:numId="12">
    <w:abstractNumId w:val="22"/>
  </w:num>
  <w:num w:numId="13">
    <w:abstractNumId w:val="5"/>
  </w:num>
  <w:num w:numId="14">
    <w:abstractNumId w:val="6"/>
  </w:num>
  <w:num w:numId="15">
    <w:abstractNumId w:val="27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0"/>
  </w:num>
  <w:num w:numId="21">
    <w:abstractNumId w:val="36"/>
  </w:num>
  <w:num w:numId="22">
    <w:abstractNumId w:val="8"/>
  </w:num>
  <w:num w:numId="23">
    <w:abstractNumId w:val="24"/>
  </w:num>
  <w:num w:numId="24">
    <w:abstractNumId w:val="38"/>
  </w:num>
  <w:num w:numId="25">
    <w:abstractNumId w:val="39"/>
  </w:num>
  <w:num w:numId="26">
    <w:abstractNumId w:val="29"/>
  </w:num>
  <w:num w:numId="27">
    <w:abstractNumId w:val="35"/>
  </w:num>
  <w:num w:numId="28">
    <w:abstractNumId w:val="33"/>
  </w:num>
  <w:num w:numId="29">
    <w:abstractNumId w:val="14"/>
  </w:num>
  <w:num w:numId="30">
    <w:abstractNumId w:val="30"/>
  </w:num>
  <w:num w:numId="31">
    <w:abstractNumId w:val="1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1"/>
  </w:num>
  <w:num w:numId="35">
    <w:abstractNumId w:val="4"/>
  </w:num>
  <w:num w:numId="36">
    <w:abstractNumId w:val="19"/>
  </w:num>
  <w:num w:numId="37">
    <w:abstractNumId w:val="2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2D5E"/>
    <w:rsid w:val="00A82D5E"/>
    <w:rsid w:val="00CB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2D5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82D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82D5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A82D5E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A82D5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A82D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82D5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82D5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82D5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82D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82D5E"/>
    <w:rPr>
      <w:rFonts w:ascii="Arial" w:eastAsia="Times New Roman" w:hAnsi="Arial" w:cs="Times New Roman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A82D5E"/>
    <w:rPr>
      <w:rFonts w:ascii="Arial" w:eastAsia="Times New Roman" w:hAnsi="Arial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82D5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A82D5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82D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82D5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82D5E"/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A8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2D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82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A82D5E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qFormat/>
    <w:rsid w:val="00A82D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82D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8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link w:val="a8"/>
    <w:qFormat/>
    <w:rsid w:val="00A82D5E"/>
    <w:pPr>
      <w:spacing w:after="0" w:line="240" w:lineRule="auto"/>
    </w:pPr>
  </w:style>
  <w:style w:type="paragraph" w:styleId="a9">
    <w:name w:val="Normal (Web)"/>
    <w:basedOn w:val="a"/>
    <w:rsid w:val="00A8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82D5E"/>
  </w:style>
  <w:style w:type="table" w:styleId="aa">
    <w:name w:val="Table Grid"/>
    <w:basedOn w:val="a1"/>
    <w:uiPriority w:val="39"/>
    <w:rsid w:val="00A82D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A82D5E"/>
    <w:rPr>
      <w:color w:val="008000"/>
    </w:rPr>
  </w:style>
  <w:style w:type="character" w:styleId="ac">
    <w:name w:val="Hyperlink"/>
    <w:rsid w:val="00A82D5E"/>
    <w:rPr>
      <w:rFonts w:cs="Times New Roman"/>
      <w:color w:val="0000FF"/>
      <w:u w:val="single"/>
    </w:rPr>
  </w:style>
  <w:style w:type="paragraph" w:customStyle="1" w:styleId="ConsPlusCell">
    <w:name w:val="ConsPlusCell"/>
    <w:rsid w:val="00A82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locked/>
    <w:rsid w:val="00A82D5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A82D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A82D5E"/>
    <w:rPr>
      <w:rFonts w:ascii="Times New Roman" w:eastAsia="Times New Roman" w:hAnsi="Times New Roman" w:cs="Times New Roman"/>
      <w:sz w:val="28"/>
      <w:szCs w:val="20"/>
    </w:rPr>
  </w:style>
  <w:style w:type="paragraph" w:customStyle="1" w:styleId="51">
    <w:name w:val="Основной текст5"/>
    <w:basedOn w:val="a"/>
    <w:uiPriority w:val="99"/>
    <w:rsid w:val="00A82D5E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paragraph" w:styleId="af">
    <w:name w:val="footer"/>
    <w:basedOn w:val="a"/>
    <w:link w:val="af0"/>
    <w:rsid w:val="00A82D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rsid w:val="00A82D5E"/>
    <w:rPr>
      <w:rFonts w:ascii="Calibri" w:eastAsia="Calibri" w:hAnsi="Calibri" w:cs="Times New Roman"/>
      <w:lang w:eastAsia="en-US"/>
    </w:rPr>
  </w:style>
  <w:style w:type="character" w:styleId="af1">
    <w:name w:val="Strong"/>
    <w:uiPriority w:val="22"/>
    <w:qFormat/>
    <w:rsid w:val="00A82D5E"/>
    <w:rPr>
      <w:rFonts w:cs="Times New Roman"/>
      <w:b/>
      <w:bCs/>
    </w:rPr>
  </w:style>
  <w:style w:type="character" w:styleId="af2">
    <w:name w:val="FollowedHyperlink"/>
    <w:rsid w:val="00A82D5E"/>
    <w:rPr>
      <w:rFonts w:cs="Times New Roman"/>
      <w:color w:val="800080"/>
      <w:u w:val="single"/>
    </w:rPr>
  </w:style>
  <w:style w:type="paragraph" w:styleId="af3">
    <w:name w:val="Body Text"/>
    <w:basedOn w:val="a"/>
    <w:link w:val="af4"/>
    <w:rsid w:val="00A82D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A82D5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82D5E"/>
    <w:rPr>
      <w:rFonts w:cs="Times New Roman"/>
    </w:rPr>
  </w:style>
  <w:style w:type="paragraph" w:customStyle="1" w:styleId="u">
    <w:name w:val="u"/>
    <w:basedOn w:val="a"/>
    <w:uiPriority w:val="99"/>
    <w:rsid w:val="00A8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rsid w:val="00A82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A82D5E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A82D5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cell0">
    <w:name w:val="conspluscell"/>
    <w:basedOn w:val="a"/>
    <w:rsid w:val="00A8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locked/>
    <w:rsid w:val="00A82D5E"/>
  </w:style>
  <w:style w:type="character" w:customStyle="1" w:styleId="blk">
    <w:name w:val="blk"/>
    <w:basedOn w:val="a0"/>
    <w:rsid w:val="00A82D5E"/>
  </w:style>
  <w:style w:type="character" w:customStyle="1" w:styleId="wmi-callto">
    <w:name w:val="wmi-callto"/>
    <w:basedOn w:val="a0"/>
    <w:rsid w:val="00A82D5E"/>
  </w:style>
  <w:style w:type="table" w:customStyle="1" w:styleId="12">
    <w:name w:val="Сетка таблицы1"/>
    <w:basedOn w:val="a1"/>
    <w:next w:val="aa"/>
    <w:uiPriority w:val="39"/>
    <w:rsid w:val="00A82D5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A82D5E"/>
  </w:style>
  <w:style w:type="paragraph" w:styleId="22">
    <w:name w:val="Body Text 2"/>
    <w:basedOn w:val="a"/>
    <w:link w:val="23"/>
    <w:rsid w:val="00A82D5E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82D5E"/>
    <w:rPr>
      <w:rFonts w:ascii="Arial" w:eastAsia="Times New Roman" w:hAnsi="Arial" w:cs="Arial"/>
      <w:sz w:val="28"/>
      <w:szCs w:val="24"/>
    </w:rPr>
  </w:style>
  <w:style w:type="paragraph" w:styleId="24">
    <w:name w:val="Body Text Indent 2"/>
    <w:basedOn w:val="a"/>
    <w:link w:val="25"/>
    <w:rsid w:val="00A82D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A82D5E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 Знак"/>
    <w:basedOn w:val="a"/>
    <w:rsid w:val="00A82D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9">
    <w:name w:val="Block Text"/>
    <w:basedOn w:val="a"/>
    <w:rsid w:val="00A82D5E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</w:rPr>
  </w:style>
  <w:style w:type="character" w:styleId="afa">
    <w:name w:val="page number"/>
    <w:basedOn w:val="a0"/>
    <w:rsid w:val="00A82D5E"/>
  </w:style>
  <w:style w:type="paragraph" w:customStyle="1" w:styleId="13">
    <w:name w:val="Стиль1"/>
    <w:basedOn w:val="a"/>
    <w:rsid w:val="00A82D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styleId="31">
    <w:name w:val="Body Text 3"/>
    <w:basedOn w:val="a"/>
    <w:link w:val="32"/>
    <w:rsid w:val="00A82D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2D5E"/>
    <w:rPr>
      <w:rFonts w:ascii="Times New Roman" w:eastAsia="Times New Roman" w:hAnsi="Times New Roman" w:cs="Times New Roman"/>
      <w:sz w:val="16"/>
      <w:szCs w:val="16"/>
    </w:rPr>
  </w:style>
  <w:style w:type="paragraph" w:customStyle="1" w:styleId="Noeeu1">
    <w:name w:val="Noeeu1"/>
    <w:basedOn w:val="a"/>
    <w:rsid w:val="00A82D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Normal">
    <w:name w:val="ConsNormal"/>
    <w:rsid w:val="00A82D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A82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2D5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82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82D5E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rsid w:val="00A82D5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Plain Text"/>
    <w:basedOn w:val="a"/>
    <w:link w:val="afc"/>
    <w:unhideWhenUsed/>
    <w:rsid w:val="00A82D5E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A82D5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5">
    <w:name w:val="Без интервала1"/>
    <w:rsid w:val="00A82D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10">
    <w:name w:val="Знак Знак11"/>
    <w:basedOn w:val="a0"/>
    <w:rsid w:val="00A82D5E"/>
    <w:rPr>
      <w:sz w:val="24"/>
      <w:szCs w:val="24"/>
    </w:rPr>
  </w:style>
  <w:style w:type="paragraph" w:styleId="afd">
    <w:name w:val="Title"/>
    <w:basedOn w:val="a"/>
    <w:link w:val="afe"/>
    <w:qFormat/>
    <w:rsid w:val="00A82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e">
    <w:name w:val="Название Знак"/>
    <w:basedOn w:val="a0"/>
    <w:link w:val="afd"/>
    <w:rsid w:val="00A82D5E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82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A82D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A8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7622</Words>
  <Characters>43451</Characters>
  <Application>Microsoft Office Word</Application>
  <DocSecurity>0</DocSecurity>
  <Lines>362</Lines>
  <Paragraphs>101</Paragraphs>
  <ScaleCrop>false</ScaleCrop>
  <Company>Grizli777</Company>
  <LinksUpToDate>false</LinksUpToDate>
  <CharactersWithSpaces>50972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2016-10-28T03:45:00Z</dcterms:created>
  <dcterms:modified xsi:type="dcterms:W3CDTF">2016-10-28T03:45:00Z</dcterms:modified>
</cp:coreProperties>
</file>