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4D22" w14:textId="77777777" w:rsidR="003951D5" w:rsidRPr="00E64BE0" w:rsidRDefault="003951D5" w:rsidP="003951D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E64BE0"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DAEEFDE" wp14:editId="6B3511A1">
            <wp:extent cx="542925" cy="7239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0D28A" w14:textId="77777777" w:rsidR="003951D5" w:rsidRPr="00E64BE0" w:rsidRDefault="003951D5" w:rsidP="003951D5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E64BE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АДМИНИСТРАЦИЯ</w:t>
      </w:r>
    </w:p>
    <w:p w14:paraId="7A89D305" w14:textId="77777777" w:rsidR="003951D5" w:rsidRPr="00E64BE0" w:rsidRDefault="003951D5" w:rsidP="003951D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E64BE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ГОРОДСКОго ПОСЕЛЕНИя федоровский</w:t>
      </w:r>
    </w:p>
    <w:p w14:paraId="14714D52" w14:textId="77777777" w:rsidR="003951D5" w:rsidRPr="00E64BE0" w:rsidRDefault="003951D5" w:rsidP="003951D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E64BE0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СУРГУТСКОГО РАЙОНА</w:t>
      </w:r>
    </w:p>
    <w:p w14:paraId="59B008D9" w14:textId="77777777" w:rsidR="003951D5" w:rsidRPr="00E64BE0" w:rsidRDefault="003951D5" w:rsidP="003951D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АВТОНОМНОГО ОКРУГА - ЮГРЫ</w:t>
      </w:r>
    </w:p>
    <w:p w14:paraId="5150404D" w14:textId="77777777" w:rsidR="003951D5" w:rsidRPr="00E64BE0" w:rsidRDefault="003951D5" w:rsidP="003951D5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64B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 О С Т А Н О В Л Е Н И Е</w:t>
      </w:r>
    </w:p>
    <w:p w14:paraId="0EBFB127" w14:textId="77777777" w:rsidR="003951D5" w:rsidRPr="00417B37" w:rsidRDefault="003951D5" w:rsidP="003951D5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8"/>
          <w:lang w:eastAsia="ru-RU"/>
        </w:rPr>
      </w:pPr>
    </w:p>
    <w:p w14:paraId="6AFBDD36" w14:textId="77777777" w:rsidR="003951D5" w:rsidRPr="00E85BA0" w:rsidRDefault="003951D5" w:rsidP="003951D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5B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E85B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 октября 2022 года                                                                                          №57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E85B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-п</w:t>
      </w:r>
    </w:p>
    <w:p w14:paraId="5B625BB9" w14:textId="77777777" w:rsidR="003951D5" w:rsidRPr="00E85BA0" w:rsidRDefault="003951D5" w:rsidP="003951D5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85B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пгт</w:t>
      </w:r>
      <w:proofErr w:type="spellEnd"/>
      <w:r w:rsidRPr="00E85B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Федоровский</w:t>
      </w:r>
    </w:p>
    <w:p w14:paraId="6765B2D4" w14:textId="77777777" w:rsidR="003951D5" w:rsidRPr="00E85BA0" w:rsidRDefault="003951D5" w:rsidP="003951D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438A5B10" w14:textId="77777777" w:rsidR="003951D5" w:rsidRPr="00871AD8" w:rsidRDefault="003951D5" w:rsidP="003951D5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71A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долгосрочном прогнозе социально-экономического развития городского поселения Федоровский на 2023 год и на плановый период 2024 - 2028 годов</w:t>
      </w:r>
      <w:bookmarkEnd w:id="0"/>
    </w:p>
    <w:p w14:paraId="2DD44BCE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CF341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173 Бюджетного кодекса РФ, постановления администрации городского поселения Федоровский от 31.08.2020 №406-п «О порядке разработки, корректировки, утверждения (одобрения), осуществления мониторинга и контроля реализации прогноза социально-экономического развития муниципального образования городского поселения Федоровский на среднесрочный и долгосрочный периоды»:</w:t>
      </w:r>
    </w:p>
    <w:p w14:paraId="22BCE127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долгосрочный прогноз социально-экономического развития городского поселения Федоровский на 2023 год и на период 2024-2028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43165528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A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Финансово-экономическому управлению администрации городского поселения Федоровский при составлении проекта бюджета городского поселения на 2023 год и плановый период 2024 - 2028 годов учесть показатели долгосрочного прогноза социально-экономического развития городского поселения Федоровский на 2023 год и плановый период 2024 -2028 годов.</w:t>
      </w:r>
    </w:p>
    <w:p w14:paraId="4ACDBE04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D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87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Федоровский.</w:t>
      </w:r>
    </w:p>
    <w:p w14:paraId="51FF7B2A" w14:textId="77777777" w:rsidR="003951D5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5124E0AF" w14:textId="77777777" w:rsidR="003951D5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C7F08" w14:textId="77777777" w:rsidR="003951D5" w:rsidRPr="00D12B37" w:rsidRDefault="003951D5" w:rsidP="003951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12B37">
        <w:rPr>
          <w:rFonts w:ascii="Times New Roman" w:hAnsi="Times New Roman"/>
          <w:sz w:val="28"/>
          <w:szCs w:val="28"/>
        </w:rPr>
        <w:t>Глава городского поселения</w:t>
      </w:r>
    </w:p>
    <w:p w14:paraId="56320722" w14:textId="77777777" w:rsidR="003951D5" w:rsidRPr="00D12B37" w:rsidRDefault="003951D5" w:rsidP="003951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2B37">
        <w:rPr>
          <w:rFonts w:ascii="Times New Roman" w:hAnsi="Times New Roman"/>
          <w:sz w:val="28"/>
          <w:szCs w:val="28"/>
        </w:rPr>
        <w:t xml:space="preserve">Федоровский                                                                                                 Н.У. </w:t>
      </w:r>
      <w:proofErr w:type="spellStart"/>
      <w:r w:rsidRPr="00D12B37">
        <w:rPr>
          <w:rFonts w:ascii="Times New Roman" w:hAnsi="Times New Roman"/>
          <w:sz w:val="28"/>
          <w:szCs w:val="28"/>
        </w:rPr>
        <w:t>Рудышин</w:t>
      </w:r>
      <w:proofErr w:type="spellEnd"/>
    </w:p>
    <w:p w14:paraId="58488A27" w14:textId="77777777" w:rsidR="003951D5" w:rsidRPr="003B2978" w:rsidRDefault="003951D5" w:rsidP="003951D5">
      <w:pPr>
        <w:tabs>
          <w:tab w:val="left" w:pos="709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16"/>
          <w:szCs w:val="28"/>
        </w:rPr>
      </w:pPr>
    </w:p>
    <w:p w14:paraId="2F388548" w14:textId="77777777" w:rsidR="003951D5" w:rsidRDefault="003951D5" w:rsidP="003951D5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65DE1F7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7AB28D27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долгосрочному прогнозу социально-экономического развития</w:t>
      </w:r>
    </w:p>
    <w:p w14:paraId="2EDE1BDD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Федоровский</w:t>
      </w:r>
    </w:p>
    <w:p w14:paraId="19DFA928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2023 год и на плановый период 2024-2028 годов</w:t>
      </w:r>
    </w:p>
    <w:p w14:paraId="34691C07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F6510BC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 социально-экономического развития городского поселения Федоровский на 2023 год и на плановый период 2024 - 2028 годов сформирован в соответствии с Порядком разработки, корректировки, утверждения (одобрения) и осуществления мониторинга и контроля реализации прогноза социально-экономического развития городского поселения Федоровский, утвержденного</w:t>
      </w:r>
      <w:r w:rsidRPr="00871AD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городского поселения Федоровский от 31.08.2020 № 406-п «О порядке разработки, корректировки, утверждения (одобрения), осуществления мониторинга и контроля реализации прогноза социально-экономического развития муниципального образования городского поселения Федоровский на среднесрочный и долгосрочный период», с учетом 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 на 2023 год и на плановый период 2024 - 2028 годов.</w:t>
      </w:r>
    </w:p>
    <w:p w14:paraId="233FCE1F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исходные данные приняты итоги социально-экономического развития муниципального образования городского поселения Федоровский за 2021</w:t>
      </w:r>
      <w:r w:rsidRPr="00871AD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и оценка 2022 года, информация, представленная отраслевыми (функциональными) органами администрации Сургутского района, структурными подразделениями администрации городского поселения Федоровский, муниципальными учреждениями и предприятиями городского поселения Федоровский, хозяйствующими субъектами поселения, а также собственные расчеты.</w:t>
      </w:r>
    </w:p>
    <w:p w14:paraId="61D33C39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 прогноза социально-экономического развития городского поселения Федоровский на 2023 год и на плановый период 2024 - 2028 годов разрабатываются на вариантной основе и формируются по видам экономической деятельности. </w:t>
      </w:r>
    </w:p>
    <w:p w14:paraId="7FBA430D" w14:textId="77777777" w:rsidR="003951D5" w:rsidRPr="00871AD8" w:rsidRDefault="003951D5" w:rsidP="0039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Базовый вариант (</w:t>
      </w:r>
      <w:r w:rsidRPr="00871AD8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I</w:t>
      </w:r>
      <w:r w:rsidRPr="00871A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вариант)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среднесрочного прогноза характеризует развитие экономики в условиях сохранения консервативных тенденций изменения внешних факторов при сохранении основных тенденций изменения эффективности использования ресурсов.</w:t>
      </w:r>
    </w:p>
    <w:p w14:paraId="27AB3C97" w14:textId="77777777" w:rsidR="003951D5" w:rsidRPr="00871AD8" w:rsidRDefault="003951D5" w:rsidP="0039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Консервативный вариант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A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871AD8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вариант)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разрабатывается на основе консервативных оценок темпов экономического роста ориентирует на достижение целевых показателей социально-экономического развития и решение задач стратегического планирования. Предполагается выход на траекторию устойчивого роста социально-экономических показателей.</w:t>
      </w:r>
    </w:p>
    <w:p w14:paraId="6F4031DD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1. Демография</w:t>
      </w:r>
    </w:p>
    <w:p w14:paraId="0CC5D04B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1BD47B08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ближайшей перспективе демографическая ситуация в поселении будет определяться сложившейся структурой населения и мерами демографической политики, направленными на увеличение рождаемости и снижение смертности, принятыми и реализуемыми в автономном округе, стабильной экономической ситуацией и привлекательностью района для проживания и осуществления трудовой деятельности жителей других территорий.</w:t>
      </w:r>
    </w:p>
    <w:p w14:paraId="418094B5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то, что большая часть населения составляет молодежь, естественный прирост останется основным фактором, определяющим рост численности населения. </w:t>
      </w:r>
    </w:p>
    <w:p w14:paraId="7CD5C36F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оценке среднегодовая численность населения поселения в 2022 году увеличится на 2,6 % и составит 24 194 тыс. человек. </w:t>
      </w:r>
    </w:p>
    <w:p w14:paraId="2FB777CE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2023 году прогнозируется увеличение численности населения в пределах 4,4 % - по обоим вариантам прогноза и составит – 24 721 тыс. человек и 25 778 тыс. человек по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варианту.</w:t>
      </w:r>
    </w:p>
    <w:p w14:paraId="2C7BE4B1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прогнозном периоде 2024-2028 гг. сохранится прирост среднегодовой численности населения и составит:</w:t>
      </w:r>
    </w:p>
    <w:p w14:paraId="28011F63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2024 году: по I и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варианту прогноза – 27 368 тыс. человек и 28 431 тыс. человек;</w:t>
      </w:r>
    </w:p>
    <w:p w14:paraId="4E1DDE93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2025 году: по I и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варианту прогноза –29 492 тыс. человек и 30 552 тыс. человек;</w:t>
      </w:r>
    </w:p>
    <w:p w14:paraId="6AF07D6C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2026 году: по I и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варианту прогноза – 31 611 тыс. человек и 32 670 тыс. человек;</w:t>
      </w:r>
    </w:p>
    <w:p w14:paraId="27089824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2027 году: по I и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варианту прогноза – 33 729 тыс. человек и 34 788 тыс. человек;</w:t>
      </w:r>
    </w:p>
    <w:p w14:paraId="0FC152F4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2028 году: по I и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варианту прогноза – 35 847 тыс. человек и 36 906 тыс. человек.</w:t>
      </w:r>
    </w:p>
    <w:p w14:paraId="06982520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оценке 2022 года рождаемость составит 249 человек, что на 58 человек меньше чем в 2021 году. Число родившихся в прогнозируемом периоде будет увеличиваться и составит: 2023-2028 гг. - 250 человек; (I вариант и II вариант прогноза соответственно). Коэффициент рождаемости на 1000 человек в 2022 году составит 10,3 в 2023 году по I варианту составит 9,9 и по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варианту прогноза составит 9,58. В прогнозный период 2024-2028 годах коэффициент рождаемости будет в пределах 6,8-9,2.</w:t>
      </w:r>
    </w:p>
    <w:p w14:paraId="15D4DEDF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смертности по оценке 2022 года составят 56 человек, что на 9 человек меньше чем в 2021 году. По оценке в 2022 году коэффициент смертности на 1000 человек будет равен 2,3. Значение показателя коэффициента смертности в 2023 году будет варьироваться в пределах 2,1. В прогнозируемых периодах 2024-2028 годах коэффициент смертности по I варианту и II варианту прогноза – 1,4-1,7.</w:t>
      </w:r>
    </w:p>
    <w:p w14:paraId="2276C4DD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Миграционная ситуация в поселении отмечается неустойчивостью процессов передвижения населения, что обусловлено специфическими условиями, характерными для северных территорий. Тенденция миграционной динамики населения характеризуется изменением результатов по сравнению с аналогичным периодом прошлого года. Таким образом, в 2022 году количество прибывших граждан увеличиться на 743 человека и составит -1889 человек, число выбывших уменьшиться на 172 человека и составит 1028 человек.</w:t>
      </w:r>
    </w:p>
    <w:p w14:paraId="416B2070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численность выбывших складывается из молодого поколения и людей пенсионного возраста. Отсутствие на территории региона высших учебных заведений побуждает выпускников средних образовательных учреждений выезжать за пределы округа в целях получения квалифицированного образования. Граждане пенсионного возраста покидают регион, выезжая на прежнее место жительства или в регион с более благоприятным климатом после окончания своей трудовой деятельности</w:t>
      </w:r>
      <w:r w:rsidRPr="00871AD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14:paraId="45C82D79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2B854B0F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2. Производство товаров и услуг</w:t>
      </w:r>
    </w:p>
    <w:p w14:paraId="339D3898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3190F743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Производство сельскохозяйственной продукции на территории городского поселения Федоровский осуществляют крестьянско-фермерские хозяйства КФХ «Росток». Основное направление деятельности животноводство, связанное с разведением крупного рогатого скота, свиней.</w:t>
      </w:r>
    </w:p>
    <w:p w14:paraId="216A893A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оценке в 2022 году реализация сельскохозяйственной продукции составит</w:t>
      </w:r>
      <w:r w:rsidRPr="00871AD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71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17 549,9 тыс. рублей.</w:t>
      </w:r>
    </w:p>
    <w:p w14:paraId="0F1F3F47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 сельхозпродукции хозяйств в 2022 году составит: производство мяса – 93,4 тонн.</w:t>
      </w:r>
    </w:p>
    <w:p w14:paraId="3CCB4C07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по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варианту </w:t>
      </w:r>
      <w:r w:rsidRPr="00871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сельскохозяйственной продукции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17 349,8 тыс. рублей (98,9 % к уровню 2022 года), по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варианту развития – 17 152 тыс.  рублей (98,9 % к уровню 2022 года).</w:t>
      </w:r>
    </w:p>
    <w:p w14:paraId="5E307C16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2024 году по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варианту </w:t>
      </w:r>
      <w:r w:rsidRPr="00871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сельскохозяйственной продукции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16 956,5 тыс. рублей (98,9 % к уровню 2023 года), по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варианту развития – 16 763,2 тыс.  рублей (98,9 % к уровню 2023 года).</w:t>
      </w:r>
    </w:p>
    <w:p w14:paraId="05154624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2025 году по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варианту </w:t>
      </w:r>
      <w:r w:rsidRPr="00871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сельскохозяйственной продукции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16 572,1 тыс. рублей (98,9 % к уровню 2024 года), по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варианту развития – 16 383,2 тыс.  рублей (98,9 % к уровню 2024 года).</w:t>
      </w:r>
    </w:p>
    <w:p w14:paraId="1C308702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2026 году по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варианту </w:t>
      </w:r>
      <w:r w:rsidRPr="00871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сельскохозяйственной продукции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16 196,4 тыс. рублей (98,9 % к уровню 2025 года), по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варианту развития – 16 011,8 тыс.  рублей (98,9 % к уровню 2025 года).</w:t>
      </w:r>
    </w:p>
    <w:p w14:paraId="0CB8067C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2027 году по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варианту </w:t>
      </w:r>
      <w:r w:rsidRPr="00871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сельскохозяйственной продукции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15 829,2 тыс. рублей (98,9 % к уровню 2026 года), по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варианту развития – 15 648,8 тыс.  рублей (98,9 % к уровню 2026 года);</w:t>
      </w:r>
    </w:p>
    <w:p w14:paraId="0ADD83B7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2028 году по прогнозу </w:t>
      </w:r>
      <w:r w:rsidRPr="00871A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сельскохозяйственной продукции 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15 470,4 тыс. рублей (98,9 % к уровню 2021 года в сопоставимых ценах) - по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варианту и 15 294,0 тыс. рублей (98,9 % к уровню 2021 года) - по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варианту.</w:t>
      </w:r>
    </w:p>
    <w:p w14:paraId="6F12AD96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9A56D8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3. </w:t>
      </w:r>
      <w:r w:rsidRPr="00871AD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Развитие малого и среднего предпринимательства</w:t>
      </w:r>
    </w:p>
    <w:p w14:paraId="4E025FFB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4C28ECE9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малого и среднего бизнеса обеспечивает частичное решение проблемы занятости населения, насыщает потребительский рынок разнообразными товарами и услугами и обеспечивает поступление налогов в местный бюджет.</w:t>
      </w:r>
    </w:p>
    <w:p w14:paraId="5915807B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оценке 2022 года, количество субъектов малого и среднего предпринимательства составит 1055 единиц. В целях поддержки и развития предпринимательской деятельности в городском поселении Федоровский существует Муниципальная Программа «С</w:t>
      </w:r>
      <w:r w:rsidRPr="00871A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оздание условий для экономического развития городского поселения Федоровский». В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подпрограмм Муниципальной программы входят следующие подпрограммы:</w:t>
      </w:r>
    </w:p>
    <w:p w14:paraId="28EEE6B8" w14:textId="77777777" w:rsidR="003951D5" w:rsidRPr="00871AD8" w:rsidRDefault="003951D5" w:rsidP="003951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Подпрограмма 1. «Поддержка малого и среднего предпринимательства»;</w:t>
      </w:r>
    </w:p>
    <w:p w14:paraId="7015FA3B" w14:textId="77777777" w:rsidR="003951D5" w:rsidRPr="00871AD8" w:rsidRDefault="003951D5" w:rsidP="003951D5">
      <w:pPr>
        <w:tabs>
          <w:tab w:val="left" w:pos="567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-Подпрограмма 2. «Совершенствование системы стратегического планирования».</w:t>
      </w:r>
    </w:p>
    <w:p w14:paraId="162D9E06" w14:textId="77777777" w:rsidR="003951D5" w:rsidRPr="00871AD8" w:rsidRDefault="003951D5" w:rsidP="003951D5">
      <w:pPr>
        <w:tabs>
          <w:tab w:val="left" w:pos="567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Подпрограмма 3. «Обеспечение защиты прав потребителей».</w:t>
      </w:r>
    </w:p>
    <w:p w14:paraId="6F1417EE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Оказание финансовой поддержки субъектам малого и среднего предпринимательства требует </w:t>
      </w:r>
      <w:r w:rsidRPr="00871A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финансирования из бюджетных средств и направлено на частичное возмещение фактически произведенных затрат бизнеса в связи с производством, выполнением работ, оказания услуг. Реализация мероприятий осуществляется путем предоставления субсидий субъектам в соответствии с нормативным правовым актом администрации г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ородского поселения</w:t>
      </w:r>
      <w:r w:rsidRPr="00871A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Федоровский. </w:t>
      </w:r>
    </w:p>
    <w:p w14:paraId="70E6F7CD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Предоставление имущественной поддержки осуществляется, в соответствии с требованиями Федерального законодательства и муниципальным правовым актом администрации г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ородского поселения</w:t>
      </w:r>
      <w:r w:rsidRPr="00871A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Федоровский «Об имущественной поддержке субъектов </w:t>
      </w:r>
      <w:r w:rsidRPr="00871A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малого и среднего предпринимательства при предоставлении муниципального имущества». </w:t>
      </w:r>
    </w:p>
    <w:p w14:paraId="67BD5481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871AD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В целях оказания имущественной поддержки отдел земельных и имущественных отношений управления жилищно-коммунального хозяйства, земельных и имущественных отношений администрации городского поселения Федоровский формирует, утверждает, ведет (в том числе ежегодное дополняет) и опубликовывает перечень муниципального имущества, свободного от прав третьих лиц (</w:t>
      </w:r>
      <w:r w:rsidRPr="00871A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71AD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), предусмотренного </w:t>
      </w:r>
      <w:hyperlink r:id="rId5" w:history="1">
        <w:r w:rsidRPr="00871AD8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частью 4 статьи 18</w:t>
        </w:r>
      </w:hyperlink>
      <w:r w:rsidRPr="00871AD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</w:t>
      </w:r>
      <w:r w:rsidRPr="00871AD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lastRenderedPageBreak/>
        <w:t>24.07.2007 №209-ФЗ «О развитии малого и среднего предпринимательства в Российской Федерации» (далее соответственно – «муниципальное имущество, перечень»).</w:t>
      </w:r>
    </w:p>
    <w:p w14:paraId="655FBB64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городском поселении Федоровский осуществляется информационная поддержка в виде: предоставления консультаций; организации и проведения мероприятий с участием субъектов для освещения актуальных вопросов развития бизнеса и выработки совместных предложений по их решению, а также привлечение субъектов к участию в подобных мероприятиях, проводимых не только на территории Сургутского района.</w:t>
      </w:r>
    </w:p>
    <w:p w14:paraId="24A4E610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Информационная поддержка может быть оказана как конкретному субъекту, так и неопределенному кругу лиц путем размещения информации на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 городского поселения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Федоровский, и предоставления информации с использованием телефонной и иной связи.</w:t>
      </w:r>
    </w:p>
    <w:p w14:paraId="651ABB84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Стабильному росту производства малого и среднего бизнеса способствуют объекты инфраструктуры для развития и укрепления деятельности, среди них Сургутская торгово-промышленная палата, Сургутский филиал ООО «Окружной Бизнес-Инкубатор, Сургутский филиал «Югорская лизинговая компания», Сургутский филиал окружного фонда поддержки предпринимательства.</w:t>
      </w:r>
    </w:p>
    <w:p w14:paraId="4D98B0A3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75BD3674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4. Потребительский рынок</w:t>
      </w:r>
    </w:p>
    <w:p w14:paraId="76DEE6CA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6048CDE4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Потребность населения в продовольственных и непродовольственных товарах, услугах обеспечивается предприятиями торговли, общественного питания, бытового обслуживания различных форм собственности.</w:t>
      </w:r>
    </w:p>
    <w:p w14:paraId="640F7D11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оценке 2022-2028 годов предприятия торговли составят 94 единицы потребительского рынка, объекты бытового обслуживания – 70 единиц, предприятия общественного питания -26 единицы.   </w:t>
      </w:r>
    </w:p>
    <w:p w14:paraId="413DDBD4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прогнозируемом периоде 2023-2028 гг. оборот розничной торговли будет варьироваться от 3101,3-4728,5 млн. рублей. </w:t>
      </w:r>
    </w:p>
    <w:p w14:paraId="7D272802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прогнозном периоде существенных изменений в структуре сети общественного питания не прогнозируется. </w:t>
      </w:r>
    </w:p>
    <w:p w14:paraId="6236C651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оценке в 2022 году оборот общественного питания составит 275,7 млн. рублей, или 103,7 % к уровню 2021 года. </w:t>
      </w:r>
    </w:p>
    <w:p w14:paraId="6A62F959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прогнозном периоде 2023-2027 годах оборот общественного питания будет варьироваться от 285,9-436,0 млн. рублей. (103,7%-104,0%)</w:t>
      </w:r>
    </w:p>
    <w:p w14:paraId="7204C90F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 бытового обслуживания населения стремятся улучшить уровень обслуживания, расширить спектр оказываемых услуг, улучшая качество обслуживания, повышая квалификацию и профессиональный уровень обслуживающего персонала.</w:t>
      </w:r>
    </w:p>
    <w:p w14:paraId="3CA23CB6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объем платных услуг по оценке составит 846,3 млн. рублей (104,1 % к уровню 2021 года).</w:t>
      </w:r>
    </w:p>
    <w:p w14:paraId="36FFDA20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прогнозный период объем платных услуг в сопоставимых ценах по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вариантам к предыдущему году составит:</w:t>
      </w:r>
    </w:p>
    <w:p w14:paraId="105FC675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 году – 881,0 млн. руб. или 104,1% (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вариант), 917,2 млн. руб. или 104,2% (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вариант);</w:t>
      </w:r>
    </w:p>
    <w:p w14:paraId="454D3F42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 – 954,8 млн. руб. или 104,2% (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вариант), 994,9 млн. руб. или 104,2% (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вариант);</w:t>
      </w:r>
    </w:p>
    <w:p w14:paraId="3F80AF21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2025 году – 1036,6 млн. руб. или 104,1% (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вариант), 1079,1 млн. руб. или 104,1% (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вариант);</w:t>
      </w:r>
    </w:p>
    <w:p w14:paraId="46CB4AE5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2026 году – 1123,4 млн. руб. или 104,2% (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вариант), 1170,6 млн. руб. или 104,1% (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вариант);</w:t>
      </w:r>
    </w:p>
    <w:p w14:paraId="00051F18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2027 году – 1218,6 млн. руб. или 104,1% (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вариант), 1268,5 млн. руб. или 104,2% (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вариант);</w:t>
      </w:r>
    </w:p>
    <w:p w14:paraId="5F867E69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2028 году – 1321,8 млн. руб. или 104,1% (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вариант), 1376,0 млн. руб. или 104,1% (</w:t>
      </w:r>
      <w:r w:rsidRPr="00871A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вариант).</w:t>
      </w:r>
    </w:p>
    <w:p w14:paraId="45AC5FCE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00E44B7D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5. Труд и занятость</w:t>
      </w:r>
    </w:p>
    <w:p w14:paraId="5130B23B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543267A3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Численность экономически активного населения поселения за 2022 год по оценке составит – 16 197 человек, что на 192 человека больше, чем за 2021 году.</w:t>
      </w:r>
    </w:p>
    <w:p w14:paraId="2CBEB43A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Среднегодовая численность, занятых в экономике достигнет в период 2022-2028 гг. будет варьироваться от 13 553-13 874 человек.</w:t>
      </w:r>
    </w:p>
    <w:p w14:paraId="2B14F102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зарегистрированных безработных в службе занятости населения по оценке 2022 года составит 22 человек.</w:t>
      </w:r>
    </w:p>
    <w:p w14:paraId="5D6EAEB2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прогнозный период 2023-2028 гг. уровень безработицы поднимется не существенно с 30 до 31 человека.</w:t>
      </w:r>
    </w:p>
    <w:p w14:paraId="7A30BBC0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задачей центра занятости населения будет, как и прежде, реализация мероприятий по трудоустройству населения, профессиональной ориентации, профессиональному обучению и материальной поддержки безработных граждан.</w:t>
      </w:r>
    </w:p>
    <w:p w14:paraId="3A9FB3D4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C2A841" w14:textId="77777777" w:rsidR="003951D5" w:rsidRPr="00871AD8" w:rsidRDefault="003951D5" w:rsidP="003951D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6. Денежные доходы и расходы населения</w:t>
      </w:r>
    </w:p>
    <w:p w14:paraId="15BD9018" w14:textId="77777777" w:rsidR="003951D5" w:rsidRPr="00871AD8" w:rsidRDefault="003951D5" w:rsidP="003951D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244DB154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доходов населения является показателем его благосостояния, основным фактором в реализации потребностей в товарах, услугах, отдыхе, получении образования, поддержания здоровья и прочих. </w:t>
      </w:r>
    </w:p>
    <w:p w14:paraId="5398975D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оценке 2022 года совокупность денежных доходов населения вырастет по сравнению с 2021 годом на 3,8 %, за счет роста заработной платы, размера социальных трансфертов (пенсий и пособий). Всего денежные доходы населения поселения составят 11 089,3 млн. рублей.</w:t>
      </w:r>
    </w:p>
    <w:p w14:paraId="1FF3BF4D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общей суммы денежных доходов населения за 2022 год:</w:t>
      </w:r>
    </w:p>
    <w:p w14:paraId="64FEB1C1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оплата труда составит – 10 344,6 млн. рублей;</w:t>
      </w:r>
    </w:p>
    <w:p w14:paraId="19F62F94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социальные выплаты составят – 587,4 млн. рублей;</w:t>
      </w:r>
    </w:p>
    <w:p w14:paraId="148BFAEA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другие доходы (от собственности, проценты по депозитам и т.д.) – 157,3 млн. рублей.</w:t>
      </w:r>
    </w:p>
    <w:p w14:paraId="592594AF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Денежные доходы на 1 жителя поселения составят по оценке за 2022 год 37,8 тыс. рублей. </w:t>
      </w:r>
    </w:p>
    <w:p w14:paraId="11C5E7D3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оценке в 2022 году начисленная среднемесячная заработная плата на одного работника по поселению составит около 63,3 тыс. рублей.</w:t>
      </w:r>
    </w:p>
    <w:p w14:paraId="705B52DB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общем объёме расходов наибольший удельный вес имеют потребительские расходы, которые в 2022 году составят 8 220,7 млн. руб. и увеличится на 3,7 % к 2021 году.</w:t>
      </w:r>
    </w:p>
    <w:p w14:paraId="7A868727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оценочном и прогнозном периодах сохранится сложившаяся и характерная для поселения тенденция превышения доходов населения над расходами.  </w:t>
      </w:r>
    </w:p>
    <w:p w14:paraId="15FBDD14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Денежные доходы населения в прогнозируемом периоде: </w:t>
      </w:r>
    </w:p>
    <w:p w14:paraId="7A5D101E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2023 году составят 11 529,1 млн. рублей (3,9 % от оценки 2022 года) по I варианту прогноза и вырастут до 11 789,7 млн. рублей (6,3 % от оценки 2022 года) по II варианту прогноза;</w:t>
      </w:r>
    </w:p>
    <w:p w14:paraId="5F405684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2024 году вырастут до 12 058,6 млн. рублей (на 4,5 % к 2023 году) по I варианту прогноза и по II варианту до 12 349,9 млн. рублей (на 4,7 % к 2023 году);</w:t>
      </w:r>
    </w:p>
    <w:p w14:paraId="4243FD77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2025 году вырастут до 12 662,6 млн. рублей (на 5 % к 2024 году) по I варианту прогноза и по II варианту до 12 967,0 млн. рублей (на 4,9 % к 2024 году);</w:t>
      </w:r>
    </w:p>
    <w:p w14:paraId="455F8D34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 2026 году вырастут до 13 286,3 млн. рублей (на 4,9 % к 2025 году) по I варианту прогноза и по II варианту до 13 613,4 млн. рублей (на 5 % к 2025 году);</w:t>
      </w:r>
    </w:p>
    <w:p w14:paraId="7DB8EEF6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2027 году вырастут до 13 948,7 млн. рублей (на 4,9 % к 2026 году) по I варианту прогноза и по II варианту до 14 292,2 млн. рублей (на 5 % к 2026 году);</w:t>
      </w:r>
    </w:p>
    <w:p w14:paraId="3AB442DC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2028 году вырастут до 14 644,2 млн. рублей (на 4,9 % к 2027 году) по I варианту прогноза и по II варианту до 15 004,9 млн. рублей (на 5 % к 2027 году).</w:t>
      </w:r>
    </w:p>
    <w:p w14:paraId="3075D68D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населения в 2023-2028 годах будут увеличиваться по обоим вариантам прогноза:</w:t>
      </w:r>
    </w:p>
    <w:p w14:paraId="33B4B6E4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2023 году составят 10 208,4 млн. рублей (3,9 % от оценки 2022 года) по I варианту прогноза и вырастут до 10 581,3 млн. рублей (7,7 % от оценки 2022 года) по II варианту прогноза;</w:t>
      </w:r>
    </w:p>
    <w:p w14:paraId="36D9103C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2024 году вырастут до 10 935,8 млн. рублей (на 7,1 % к 2023 году) по I варианту прогноза и по II варианту до 11 358,3 млн. рублей (на 7,3 % к 2023 году);</w:t>
      </w:r>
    </w:p>
    <w:p w14:paraId="4050AB9B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2025 году вырастут до 11 800,8 млн. рублей (на 7,9 % к 2024 году) по I варианту прогноза и до 12 249,1 млн. рублей (на 7,8 % к 2024 году) по II варианту прогноза;</w:t>
      </w:r>
    </w:p>
    <w:p w14:paraId="71D44308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2026 году составят 12 706,8 млн. рублей (7,6 % от оценки 2026 года) по I варианту прогноза и вырастут до 13 181,6 млн. рублей (7,7 % от оценки 2026 года) по II варианту прогноза;</w:t>
      </w:r>
    </w:p>
    <w:p w14:paraId="771C6F0E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2027 году вырастут до 13 674,3 млн. рублей (на 7,6 % к 2026 году) по I варианту прогноза и по II варианту до 14 185,4 млн. рублей (на 7,7 % к 2026 году);</w:t>
      </w:r>
    </w:p>
    <w:p w14:paraId="18DD74AF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2028 году вырастут до 14 715,6 млн. рублей (на 7,6 % к 2024 году) по I варианту прогноза и до 15 265,8 млн. рублей (на 7,7 % к 2028 году) по II варианту прогноза.</w:t>
      </w:r>
    </w:p>
    <w:p w14:paraId="02D21626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A8689A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расходы в 2022 году по оценке увеличатся на 3,9 % по отношению к 2021 году. В общем объёме расходов наибольший удельный вес имеют потребительские расходы, которые в 2022 году составят 8 220,7 млн. руб. и увеличится на 3,7 % к 2021 году.</w:t>
      </w:r>
    </w:p>
    <w:p w14:paraId="67C1A9A5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оценочном и прогнозном периодах сохранится сложившаяся и характерная для поселения тенденция превышения доходов населения над расходами.  </w:t>
      </w:r>
    </w:p>
    <w:p w14:paraId="0B961DA6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Денежные доходы населения в прогнозируемом периоде: </w:t>
      </w:r>
    </w:p>
    <w:p w14:paraId="18FC22B4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2022 году составят 10 846 млн. рублей (1,9 % от оценки 2021 года) по I варианту прогноза и вырастут до 11 090,9 млн. рублей (2,2 % от оценки 2021 года) по II варианту прогноза;</w:t>
      </w:r>
    </w:p>
    <w:p w14:paraId="1BCC0C1D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2023 году вырастут до 11 343,6 млн. рублей (на 2,2 % к 2022 году) по I варианту прогноза и по II варианту до 11 616,8 млн. рублей (на 2,4 % к 2022 году);</w:t>
      </w:r>
    </w:p>
    <w:p w14:paraId="7DF97B44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2024 году вырастут до 11 911,3 млн. рублей (на 2,5 % к 2023 году) по I варианту прогноза и по II варианту до 12 196,6 млн. рублей (на 2,4 % к 2023 году);</w:t>
      </w:r>
    </w:p>
    <w:p w14:paraId="66FACB86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2025 году вырастут до 12 496,4 млн. рублей (на 2,4 % к 2024 году) по I варианту прогноза и по II варианту до 12 796 млн. рублей (на 2,4 % к 2024 году);</w:t>
      </w:r>
    </w:p>
    <w:p w14:paraId="3E5EBC35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2026 году вырастут до 13 110,7 млн. рублей (на 2,4 % к 2025 году) по I варианту прогноза и по II варианту до 13 425,3 млн. рублей (на 2,3 % к 2025 году);</w:t>
      </w:r>
    </w:p>
    <w:p w14:paraId="5366FFA4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2027 году вырастут до 13 755,6 млн. рублей (на 2,4 % к 2026 году) по I варианту прогноза и по II варианту до 14 085,8 млн. рублей (на 2,4 % к 2026 году).</w:t>
      </w:r>
    </w:p>
    <w:p w14:paraId="316A0DDF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населения в 2022-2024 годах будут увеличиваться по обоим вариантам прогноза:</w:t>
      </w:r>
    </w:p>
    <w:p w14:paraId="4CA2EEF1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2022 году составят 9 864,4 млн. рублей (4,1 % от оценки 2021 года) по I варианту прогноза и вырастут до 10 225,2 млн. рублей (3,6 % от оценки 2021 года) по II варианту прогноза;</w:t>
      </w:r>
    </w:p>
    <w:p w14:paraId="21B55F9B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 2023 году вырастут до 10 568,3 млн. рублей (на 3,3 % к 2022 году) по I варианту прогноза и до 10 976,8 млн. рублей (на 3,8 % к 2022 году) по II варианту прогноза;</w:t>
      </w:r>
    </w:p>
    <w:p w14:paraId="46217ECC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2024 году вырастут до 11 404,5 млн. рублей (на 3,9 % к 2023 году) по I варианту прогноза и по II варианту до 11 838,5 млн. рублей (на 3,8 % к 2023 году);</w:t>
      </w:r>
    </w:p>
    <w:p w14:paraId="0E0A2883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2025 году вырастут до 12 281,3 млн. рублей (на 3,7 % к 2024 году) по I варианту прогноза и по II варианту до 12 748,9 млн. рублей (на 3,8 % к 2024 году);</w:t>
      </w:r>
    </w:p>
    <w:p w14:paraId="36C0D93F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2026 году вырастут до 13 225,9 млн. рублей (на 3,7 % к 2025 году) по I варианту прогноза и по II варианту до 13 729,6 млн. рублей (на 3,8 % к 2025 году);</w:t>
      </w:r>
    </w:p>
    <w:p w14:paraId="1F5B0D72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2027 году вырастут до 14 243,4 млн. рублей (на 3,7 % к 2026 году) по I варианту прогноза и по II варианту до 14 786,1 млн. рублей (на 3,8 % к 2026 году);</w:t>
      </w:r>
    </w:p>
    <w:p w14:paraId="031F93CD" w14:textId="77777777" w:rsidR="003951D5" w:rsidRPr="00871AD8" w:rsidRDefault="003951D5" w:rsidP="003951D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2028 году вырастут до 14 715,6 млн. рублей (на 7,6 % к 2027 году) по I варианту прогноза и по II варианту до 15 265,8 млн. рублей (на 7,7 % к 2027 году).</w:t>
      </w:r>
    </w:p>
    <w:p w14:paraId="6D75DA97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5D4FB8C2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7. Развитие социальной сферы</w:t>
      </w:r>
    </w:p>
    <w:p w14:paraId="566FDC97" w14:textId="77777777" w:rsidR="003951D5" w:rsidRPr="00871AD8" w:rsidRDefault="003951D5" w:rsidP="003951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7.1. Образование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6E7F33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образования на территории городского поселения Федоровский в целом характеризуется стабильностью и устойчивостью, разнообразием образовательных учреждений, наличием нормативной правовой базы. Она представляет собой разнообразную, многофункциональную сеть учреждений образования, позволяющую удовлетворять запросы населения в соответствии с интересами и склонностями детей.</w:t>
      </w:r>
    </w:p>
    <w:p w14:paraId="5612820C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Приоритетными направлениями в деятельности образовательных учреждений являются:</w:t>
      </w:r>
    </w:p>
    <w:p w14:paraId="1F13DAE1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качества образования;</w:t>
      </w:r>
    </w:p>
    <w:p w14:paraId="57C0BF61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и организация работы управляющих советов общеобразовательных учреждений;</w:t>
      </w:r>
    </w:p>
    <w:p w14:paraId="187ADDAF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внедрение информационных технологий в целях развития учебного процесса и усовершенствования организационно-управленческих технологий;</w:t>
      </w:r>
    </w:p>
    <w:p w14:paraId="3C973633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доступности дошкольного образования;</w:t>
      </w:r>
    </w:p>
    <w:p w14:paraId="10072224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преемственности в дошкольном и начальном общем образовании;</w:t>
      </w:r>
    </w:p>
    <w:p w14:paraId="7CB569DC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оптимизация сети образовательных учреждений.</w:t>
      </w:r>
    </w:p>
    <w:p w14:paraId="56AB1242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в поселении функционируют 3 муниципальных образовательных учреждений, где обучается и воспитывается более 7 487 человек. Осуществляют образовательный процесс 360 человек.</w:t>
      </w:r>
    </w:p>
    <w:p w14:paraId="7BE85932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7.1.1. Дошкольное образование.</w:t>
      </w:r>
    </w:p>
    <w:p w14:paraId="1BB2D099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приоритетных направлений деятельности дошкольных образовательных учреждений являются:</w:t>
      </w:r>
    </w:p>
    <w:p w14:paraId="35F933C2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предоставления и обеспечения общедоступного бесплатного дошкольного образования на территории поселения;</w:t>
      </w:r>
    </w:p>
    <w:p w14:paraId="34435977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качества дошкольного образования;</w:t>
      </w:r>
    </w:p>
    <w:p w14:paraId="16CC08B8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сохранение и укрепление здоровья детей дошкольного возраста.</w:t>
      </w:r>
    </w:p>
    <w:p w14:paraId="2C773032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сегодняшний день в поселении функционирует 3 дошкольных образовательных учреждений, которые посещают 1 450 детей, и работает 145 воспитателя. </w:t>
      </w:r>
    </w:p>
    <w:p w14:paraId="7380AE3A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Сохраняется система государственных гарантий по родительской плате за содержание детей. Родительский взнос за содержания ребенка составляет 196</w:t>
      </w:r>
      <w:r w:rsidRPr="00871AD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в день. Кроме того, отдельной категории родителей предоставляются льготы по оплате за детский сад.</w:t>
      </w:r>
    </w:p>
    <w:p w14:paraId="2AA8CC86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7.1.2. Среднее общее образование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BB086C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систему школьного образования городского поселения Федоровский входят 3 муниципальных общеобразовательных учреждения.</w:t>
      </w:r>
    </w:p>
    <w:p w14:paraId="2A3EE59C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оценке с 2022-2028 годы в общеобразовательных учреждениях городского поселения Федоровский будут обучаться 3400 человек. В школах городского поселения Федоровский будут работать 183 учителя.</w:t>
      </w:r>
    </w:p>
    <w:p w14:paraId="49FB6B5C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7.1.3. Дополнительное образование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529285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 детского творчества.</w:t>
      </w:r>
    </w:p>
    <w:p w14:paraId="73CBD9F2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учреждении созданы необходимые условия для организации учебно-воспитательного процесса. Образовательный процесс обеспечен реализацией общеобразовательных программ по 5 направлениям: художественно-эстетическое, эколого-биологическое, социально-педагогическое, спортивное, техническое.</w:t>
      </w:r>
    </w:p>
    <w:p w14:paraId="6E750CC0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пять функционально-пригодных кабинетов для учебной работы: «Игротека», «Творческая мастерская», «Живой уголок», «ИЗО - студия», «Кабинет творческого развития». В учреждении есть доступ в Интернет. </w:t>
      </w:r>
    </w:p>
    <w:p w14:paraId="1B771B10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7.2. Здравоохранение.</w:t>
      </w:r>
    </w:p>
    <w:p w14:paraId="4355EB49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сегодняшний день система здравоохранения городского поселения Федоровский представлена бюджетным учреждением Ханты-Мансийского автономного округа-Югры «Федоровская городская больница», которое является одним из крупных лечебных учреждений Сургутского района. </w:t>
      </w:r>
    </w:p>
    <w:p w14:paraId="52302B61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Коечный фонд стационара, в состав которого входит отделение оказания экстренной помощи с приемным покоем, в 2022 году составляет 82 койки, в том числе 58 коек круглосуточного стационара, 26 койки дневного стационара. Мощность амбулаторно-поликлинического учреждения составляет 301 посещение в смену.</w:t>
      </w:r>
    </w:p>
    <w:p w14:paraId="1CFD1C9B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Численность работающих в БУ «Федоровская городская больница» составляет 430 человек, из них 62 врача, 225 человек среднего медицинского персонала. </w:t>
      </w:r>
    </w:p>
    <w:p w14:paraId="353F1D28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Первоочередными задачами на ближайшие годы в сфере здравоохранения являются:</w:t>
      </w:r>
    </w:p>
    <w:p w14:paraId="514E5FDF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введение дополнительных штатных единиц узких специалистов для проведения дополнительной диспансеризации;</w:t>
      </w:r>
    </w:p>
    <w:p w14:paraId="46C0CDC5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объема оказания медицинских услуг на </w:t>
      </w:r>
      <w:proofErr w:type="gramStart"/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госпитальном этапе</w:t>
      </w:r>
      <w:proofErr w:type="gramEnd"/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развитие профилактической направленности оказания первичной медицинской помощи.</w:t>
      </w:r>
    </w:p>
    <w:p w14:paraId="6DA2DDA6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7.3. Культура.</w:t>
      </w:r>
    </w:p>
    <w:p w14:paraId="1C1E1667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городского поселения сеть учреждений культуры представляет собой комплекс, ориентированный на удовлетворение культурных и духовных потребностей жителей поселения.</w:t>
      </w:r>
    </w:p>
    <w:p w14:paraId="494E32E0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 день сеть учреждений культуры состоит из двух учреждений, в том числе:</w:t>
      </w:r>
    </w:p>
    <w:p w14:paraId="5802A3D3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Муниципальное автономное учреждение культуры «Культурно-досуговый центр «Премьер»; </w:t>
      </w:r>
    </w:p>
    <w:p w14:paraId="7853B76E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Муниципальное бюджетное образовательное учреждение дополнительного образования детей «Федоровская детская школа искусств».</w:t>
      </w:r>
    </w:p>
    <w:p w14:paraId="3EB0F8BD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7.3.1. Муниципальное автономное учреждение культуры «Культурно-досуговый центр «Премьер».</w:t>
      </w:r>
    </w:p>
    <w:p w14:paraId="26433537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2023-2028 гг. будет проведено 275-290 мероприятий, которыми будет охвачено 66 850-68 000 человек. В учреждении будут функционировать 29 коллективов и клубных формирований, в которых будут участвовать от 720-737 человек. </w:t>
      </w:r>
    </w:p>
    <w:p w14:paraId="7B5D4E8D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2023-2028 гг. число посещений составит 23 615-25 581 посещений. Книговыдача составит 65 200 – 65 800 экземпляров. Проведение массовых мероприятий составит 105 мероприятий. </w:t>
      </w:r>
    </w:p>
    <w:p w14:paraId="459B73AE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начало 2022 года книжный фонд учреждения составит 31,6 тыс. экземпляра. В течении прогнозного периода 2023-2028 годов панируется увеличение библиотечного фонда до 33,1 тыс. экземпляров.</w:t>
      </w:r>
    </w:p>
    <w:p w14:paraId="77B1A8CF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7.3.2. Муниципальное образовательное учреждение дополнительного образования детей «Федоровская детская школа искусств».</w:t>
      </w:r>
    </w:p>
    <w:p w14:paraId="75A5FBCA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направлением деятельности детской школы искусств являются эстрадное отделение, фортепиано, народные инструменты, художественное и хореографическое отделения. В последние годы растет спрос на отделения с групповыми занятиями: художественное, эстетическое, хоровое, что способствует увеличению охвата учащихся на той же материально-технической базе.</w:t>
      </w:r>
    </w:p>
    <w:p w14:paraId="7BB9787A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прогнозируемый период 2023-2028 годы увеличение количества обучающихся не планируется. Число преподавателей в прогнозируемый период 2023-2028 года планируется увеличить до 30 сотрудников.</w:t>
      </w:r>
    </w:p>
    <w:p w14:paraId="154FE984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7.4. Физическая культура и спорт.</w:t>
      </w:r>
    </w:p>
    <w:p w14:paraId="35BE36E9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2022 год всего на территории городского поселения Федоровский насчитывается 56 спортивных сооружения.    </w:t>
      </w:r>
    </w:p>
    <w:p w14:paraId="5D4D46D5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 году на территории городского поселения Федоровский будет проведено 68 спортивных мероприятия. </w:t>
      </w:r>
    </w:p>
    <w:p w14:paraId="78A35070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7.5. Молодежная политика.</w:t>
      </w:r>
    </w:p>
    <w:p w14:paraId="2C51CA94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оценке в 2022 году будет проведено 66 мероприятий с участием молодежи, из них 49 поселковых мероприятий, 12 – районных и 5 – окружных.</w:t>
      </w:r>
    </w:p>
    <w:p w14:paraId="58D56D33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Приоритетами молодежной политики является активизация участия молодежи в окружных и районных мероприятиях, организация работы с детьми и молодежью по месту жительства, воспитание гражданственности и патриотизма, развития семейных форм досуга.</w:t>
      </w:r>
    </w:p>
    <w:p w14:paraId="0ECB2AC7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8. Городское хозяйство</w:t>
      </w:r>
    </w:p>
    <w:p w14:paraId="2334C154" w14:textId="77777777" w:rsidR="003951D5" w:rsidRPr="00871AD8" w:rsidRDefault="003951D5" w:rsidP="00395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39E96D5C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Calibri" w:hAnsi="Times New Roman" w:cs="Times New Roman"/>
          <w:sz w:val="26"/>
          <w:szCs w:val="26"/>
          <w:lang w:eastAsia="ru-RU"/>
        </w:rPr>
        <w:t>Жилищно-коммунальный комплекс – это многоотраслевой производственно-технологический комплекс, основными задачами которого является дальнейшее жизнеобеспечение населения, формирование эффективной, конкурентоспособной системы хозяйствования, обеспечивающей качество предоставляемых жилищно-коммунальных услуг.</w:t>
      </w:r>
    </w:p>
    <w:p w14:paraId="4B1544F4" w14:textId="77777777" w:rsidR="003951D5" w:rsidRPr="00871AD8" w:rsidRDefault="003951D5" w:rsidP="003951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Calibri" w:hAnsi="Times New Roman" w:cs="Times New Roman"/>
          <w:sz w:val="26"/>
          <w:szCs w:val="26"/>
          <w:lang w:eastAsia="ru-RU"/>
        </w:rPr>
        <w:t>Производственная структура жилищно-коммунального хозяйства обеспечивает виды деятельности по:</w:t>
      </w:r>
    </w:p>
    <w:p w14:paraId="0A031903" w14:textId="77777777" w:rsidR="003951D5" w:rsidRPr="00871AD8" w:rsidRDefault="003951D5" w:rsidP="003951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Calibri" w:hAnsi="Times New Roman" w:cs="Times New Roman"/>
          <w:sz w:val="26"/>
          <w:szCs w:val="26"/>
          <w:lang w:eastAsia="ru-RU"/>
        </w:rPr>
        <w:t>-теплоснабжению;</w:t>
      </w:r>
    </w:p>
    <w:p w14:paraId="33E34FCC" w14:textId="77777777" w:rsidR="003951D5" w:rsidRPr="00871AD8" w:rsidRDefault="003951D5" w:rsidP="003951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Calibri" w:hAnsi="Times New Roman" w:cs="Times New Roman"/>
          <w:sz w:val="26"/>
          <w:szCs w:val="26"/>
          <w:lang w:eastAsia="ru-RU"/>
        </w:rPr>
        <w:t>-холодному, горячему водоснабжению;</w:t>
      </w:r>
    </w:p>
    <w:p w14:paraId="3279186E" w14:textId="77777777" w:rsidR="003951D5" w:rsidRPr="00871AD8" w:rsidRDefault="003951D5" w:rsidP="003951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Calibri" w:hAnsi="Times New Roman" w:cs="Times New Roman"/>
          <w:sz w:val="26"/>
          <w:szCs w:val="26"/>
          <w:lang w:eastAsia="ru-RU"/>
        </w:rPr>
        <w:t>-водоотведению;</w:t>
      </w:r>
    </w:p>
    <w:p w14:paraId="6AAB0D33" w14:textId="77777777" w:rsidR="003951D5" w:rsidRPr="00871AD8" w:rsidRDefault="003951D5" w:rsidP="003951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-содержанию и текущему ремонту многоквартирных домов. </w:t>
      </w:r>
    </w:p>
    <w:p w14:paraId="3F26442E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871AD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8.1. Жилищный фонд.</w:t>
      </w:r>
    </w:p>
    <w:p w14:paraId="3A126CB5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Жилищный фонд городского поселения Федоровский составляют дома в капитальном и деревянном исполнении.</w:t>
      </w:r>
    </w:p>
    <w:p w14:paraId="6FE126FB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Жилищный фонд городского поселения Федоровский в 2022 году представлен 283 жилыми домами общей площадью 455,4 тыс. кв. метров, в том числе в деревянном исполнении общей площадью 143,3 тыс. кв. метров. Муниципальный жилищный фонд составляет 8,1 тыс. кв. метров. </w:t>
      </w:r>
    </w:p>
    <w:p w14:paraId="2BA1531C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Обеспеченность жильем в среднем на одного жителя составляет 19,8 квадратных метра.</w:t>
      </w:r>
    </w:p>
    <w:p w14:paraId="66FE309C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Количество ветхого, экологически неблагоприятного и аварийного жилищного фонда составляет 58 единиц с общей площадью 49,2 </w:t>
      </w:r>
      <w:proofErr w:type="gramStart"/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тыс.м</w:t>
      </w:r>
      <w:proofErr w:type="gramEnd"/>
      <w:r w:rsidRPr="00871AD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409BCFE7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большой износ жилищного фонда, возникает объективная необходимость проведения текущих и капитальных ремонтов жилищного фонда. </w:t>
      </w:r>
    </w:p>
    <w:p w14:paraId="348394BB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8.2. Коммунальный комплекс</w:t>
      </w:r>
      <w:r w:rsidRPr="00871AD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36ED8C2C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сегодняшний день обеспечение населения и организации городского поселения Федоровский коммунальными услугами осуществляет МУП «Федоровское ЖКХ». </w:t>
      </w:r>
    </w:p>
    <w:p w14:paraId="52273D57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Теплоснабжение городского поселения Федоровский осуществляется от муниципальной котельной мощностью 114,5 Гкал/ч. Число центральных тепловых пунктов – 13 единиц, общая протяженность тепловых сетей городского поселения Федоровский в двухтрубном исчислении составляет 45,6 км. </w:t>
      </w:r>
    </w:p>
    <w:p w14:paraId="466905C7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Водоснабжение обеспечивается водоочистным сооружением мощностью 16 000 м³/</w:t>
      </w:r>
      <w:proofErr w:type="spellStart"/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</w:t>
      </w:r>
      <w:proofErr w:type="spellEnd"/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., протяженность водопроводных сетей – 35,7 км.</w:t>
      </w:r>
    </w:p>
    <w:p w14:paraId="460F6E99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Водоотведение осуществляется при помощи канализационной насосной станции мощностью 14 000м³/</w:t>
      </w:r>
      <w:proofErr w:type="spellStart"/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</w:t>
      </w:r>
      <w:proofErr w:type="spellEnd"/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путем перекачки на канализационно-очистные сооружения для очистки и обеззараживания сточных вод. Протяженность сетей – 38,9 км.</w:t>
      </w:r>
    </w:p>
    <w:p w14:paraId="5912AC1D" w14:textId="77777777" w:rsidR="003951D5" w:rsidRPr="00871AD8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 проводится работа, направленная на установку общедомовых приборов учета, что позволит выявить непроизводительные потери в сетях, более точно планировать объемы потребляемых коммунальных услуг, а также послужит поводом для более экономного расхода коммунальных услуг населением.</w:t>
      </w:r>
    </w:p>
    <w:p w14:paraId="3C61A7C8" w14:textId="77777777" w:rsidR="003951D5" w:rsidRDefault="003951D5" w:rsidP="0039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в сфере коммунального комплекса, а также установление регулирующими органами предельных индексов изменения тарифов и установления предельных индексов изменения платы граждан за коммунальные услуги позволяет сдерживать рост тарифов на коммунальные услуги.</w:t>
      </w:r>
    </w:p>
    <w:p w14:paraId="3AD665AD" w14:textId="37CBE1FA" w:rsidR="00D9208B" w:rsidRPr="003951D5" w:rsidRDefault="00D9208B" w:rsidP="003951D5">
      <w:pPr>
        <w:spacing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9208B" w:rsidRPr="003951D5" w:rsidSect="003951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08"/>
    <w:rsid w:val="00061108"/>
    <w:rsid w:val="003951D5"/>
    <w:rsid w:val="00D9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4299"/>
  <w15:chartTrackingRefBased/>
  <w15:docId w15:val="{C8A76457-4FA3-4E06-B426-580F3FC6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1D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4854.180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4476</Words>
  <Characters>25518</Characters>
  <Application>Microsoft Office Word</Application>
  <DocSecurity>0</DocSecurity>
  <Lines>212</Lines>
  <Paragraphs>59</Paragraphs>
  <ScaleCrop>false</ScaleCrop>
  <Company/>
  <LinksUpToDate>false</LinksUpToDate>
  <CharactersWithSpaces>29935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Лилия Игнатенко</cp:lastModifiedBy>
  <cp:revision>2</cp:revision>
  <dcterms:created xsi:type="dcterms:W3CDTF">2022-10-24T09:51:00Z</dcterms:created>
  <dcterms:modified xsi:type="dcterms:W3CDTF">2022-10-24T09:52:00Z</dcterms:modified>
</cp:coreProperties>
</file>